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1" w:rsidRPr="002A7096" w:rsidRDefault="00B62365" w:rsidP="008C1DD1">
      <w:pPr>
        <w:spacing w:line="240" w:lineRule="auto"/>
        <w:jc w:val="center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О б р а з л о ж е њ е</w:t>
      </w:r>
    </w:p>
    <w:p w:rsidR="008C1DD1" w:rsidRPr="002A7096" w:rsidRDefault="00B62365" w:rsidP="00862DF0">
      <w:pPr>
        <w:spacing w:line="240" w:lineRule="auto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I ПРАВНИ ОСНОВ</w:t>
      </w:r>
    </w:p>
    <w:p w:rsidR="00862DF0" w:rsidRPr="002A7096" w:rsidRDefault="00B62365" w:rsidP="00862DF0">
      <w:pPr>
        <w:spacing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Правни Основ за предлагање Одлуке о изменама и допунама- Ребаланс Одлуке о буџету Општине Врњачка Бања </w:t>
      </w:r>
      <w:r w:rsidR="00F27C17" w:rsidRPr="002A7096">
        <w:rPr>
          <w:rFonts w:ascii="Times New Roman" w:hAnsi="Times New Roman"/>
          <w:lang w:val="sr-Latn-CS"/>
        </w:rPr>
        <w:t xml:space="preserve">за </w:t>
      </w:r>
      <w:proofErr w:type="spellStart"/>
      <w:r w:rsidR="00F27C17" w:rsidRPr="002A7096">
        <w:rPr>
          <w:rFonts w:ascii="Times New Roman" w:hAnsi="Times New Roman"/>
          <w:lang w:val="sr-Latn-CS"/>
        </w:rPr>
        <w:t>2018</w:t>
      </w:r>
      <w:r w:rsidR="00822208" w:rsidRPr="002A7096">
        <w:rPr>
          <w:rFonts w:ascii="Times New Roman" w:hAnsi="Times New Roman"/>
          <w:lang w:val="sr-Latn-CS"/>
        </w:rPr>
        <w:t>.г</w:t>
      </w:r>
      <w:proofErr w:type="spellEnd"/>
      <w:r w:rsidR="00822208" w:rsidRPr="002A7096">
        <w:rPr>
          <w:rFonts w:ascii="Times New Roman" w:hAnsi="Times New Roman"/>
          <w:lang w:val="sr-Latn-CS"/>
        </w:rPr>
        <w:t xml:space="preserve">. </w:t>
      </w:r>
      <w:r w:rsidRPr="002A7096">
        <w:rPr>
          <w:rFonts w:ascii="Times New Roman" w:hAnsi="Times New Roman"/>
          <w:lang w:val="sr-Latn-CS"/>
        </w:rPr>
        <w:t>(„</w:t>
      </w:r>
      <w:proofErr w:type="spellStart"/>
      <w:r w:rsidRPr="002A7096">
        <w:rPr>
          <w:rFonts w:ascii="Times New Roman" w:hAnsi="Times New Roman"/>
          <w:lang w:val="sr-Latn-CS"/>
        </w:rPr>
        <w:t>Сл.лис</w:t>
      </w:r>
      <w:r w:rsidR="0054075E" w:rsidRPr="002A7096">
        <w:rPr>
          <w:rFonts w:ascii="Times New Roman" w:hAnsi="Times New Roman"/>
          <w:lang w:val="sr-Latn-CS"/>
        </w:rPr>
        <w:t>т</w:t>
      </w:r>
      <w:proofErr w:type="spellEnd"/>
      <w:r w:rsidR="0054075E" w:rsidRPr="002A7096">
        <w:rPr>
          <w:rFonts w:ascii="Times New Roman" w:hAnsi="Times New Roman"/>
          <w:lang w:val="sr-Latn-CS"/>
        </w:rPr>
        <w:t xml:space="preserve"> општине Врњачка Бања“, број </w:t>
      </w:r>
      <w:r w:rsidR="00F27C17" w:rsidRPr="002A7096">
        <w:rPr>
          <w:rFonts w:ascii="Times New Roman" w:hAnsi="Times New Roman"/>
          <w:lang w:val="sr-Latn-CS"/>
        </w:rPr>
        <w:t>3</w:t>
      </w:r>
      <w:r w:rsidR="002D6B96" w:rsidRPr="002A7096">
        <w:rPr>
          <w:rFonts w:ascii="Times New Roman" w:hAnsi="Times New Roman"/>
          <w:lang w:val="sr-Latn-CS"/>
        </w:rPr>
        <w:t>8</w:t>
      </w:r>
      <w:r w:rsidR="0054075E" w:rsidRPr="002A7096">
        <w:rPr>
          <w:rFonts w:ascii="Times New Roman" w:hAnsi="Times New Roman"/>
          <w:lang w:val="sr-Latn-CS"/>
        </w:rPr>
        <w:t>/1</w:t>
      </w:r>
      <w:r w:rsidR="00F27C17" w:rsidRPr="002A7096">
        <w:rPr>
          <w:rFonts w:ascii="Times New Roman" w:hAnsi="Times New Roman"/>
          <w:lang w:val="sr-Latn-CS"/>
        </w:rPr>
        <w:t>7</w:t>
      </w:r>
      <w:r w:rsidRPr="002A7096">
        <w:rPr>
          <w:rFonts w:ascii="Times New Roman" w:hAnsi="Times New Roman"/>
          <w:lang w:val="sr-Latn-CS"/>
        </w:rPr>
        <w:t xml:space="preserve">) садржан је у члану </w:t>
      </w:r>
      <w:r w:rsidR="00625208" w:rsidRPr="002A7096">
        <w:rPr>
          <w:rFonts w:ascii="Times New Roman" w:hAnsi="Times New Roman"/>
          <w:lang w:val="sr-Latn-CS"/>
        </w:rPr>
        <w:t xml:space="preserve">32. Закона о локалној самоуправи ("Службени гласник РС" број  </w:t>
      </w:r>
      <w:r w:rsidR="00F27C17" w:rsidRPr="002A7096">
        <w:rPr>
          <w:rFonts w:ascii="Times New Roman" w:hAnsi="Times New Roman"/>
          <w:lang w:val="sr-Latn-CS"/>
        </w:rPr>
        <w:t>129/2007, 83/2014 - др. закон и 101/2016 - др. закон)</w:t>
      </w:r>
      <w:r w:rsidR="00625208" w:rsidRPr="002A7096">
        <w:rPr>
          <w:rFonts w:ascii="Times New Roman" w:hAnsi="Times New Roman"/>
          <w:lang w:val="sr-Latn-CS"/>
        </w:rPr>
        <w:t xml:space="preserve">, чл. 6. и чл. 43. Закона о буџетском систему ("Сл. гласник РС", бр. </w:t>
      </w:r>
      <w:r w:rsidR="00F27C17" w:rsidRPr="002A7096">
        <w:rPr>
          <w:rFonts w:ascii="Times New Roman" w:hAnsi="Times New Roman"/>
          <w:lang w:val="sr-Latn-CS"/>
        </w:rPr>
        <w:t xml:space="preserve">54/2009, 73/2010, 101/2010, 101/2011, 93/2012, 62/2013, 63/2013 - </w:t>
      </w:r>
      <w:proofErr w:type="spellStart"/>
      <w:r w:rsidR="00F27C17" w:rsidRPr="002A7096">
        <w:rPr>
          <w:rFonts w:ascii="Times New Roman" w:hAnsi="Times New Roman"/>
          <w:lang w:val="sr-Latn-CS"/>
        </w:rPr>
        <w:t>испр</w:t>
      </w:r>
      <w:proofErr w:type="spellEnd"/>
      <w:r w:rsidR="00F27C17" w:rsidRPr="002A7096">
        <w:rPr>
          <w:rFonts w:ascii="Times New Roman" w:hAnsi="Times New Roman"/>
          <w:lang w:val="sr-Latn-CS"/>
        </w:rPr>
        <w:t>., 108/2013, 142/2014, 68/2015 - др. закон, 103/2015, 99/2016 и 113/2017)</w:t>
      </w:r>
      <w:r w:rsidR="00625208" w:rsidRPr="002A7096">
        <w:rPr>
          <w:rFonts w:ascii="Times New Roman" w:hAnsi="Times New Roman"/>
          <w:lang w:val="sr-Latn-CS"/>
        </w:rPr>
        <w:t xml:space="preserve">, чл. 1.  Закона о финансирању локалне самоуправе ("Службени гласник РС" бр. </w:t>
      </w:r>
      <w:r w:rsidR="00F27C17" w:rsidRPr="002A7096">
        <w:rPr>
          <w:rFonts w:ascii="Times New Roman" w:hAnsi="Times New Roman"/>
          <w:lang w:val="sr-Latn-CS"/>
        </w:rPr>
        <w:t xml:space="preserve">62/2006, 47/2011, 93/2012, 99/2013 - усклађени дин. </w:t>
      </w:r>
      <w:proofErr w:type="spellStart"/>
      <w:r w:rsidR="00F27C17" w:rsidRPr="002A7096">
        <w:rPr>
          <w:rFonts w:ascii="Times New Roman" w:hAnsi="Times New Roman"/>
          <w:lang w:val="sr-Latn-CS"/>
        </w:rPr>
        <w:t>изн</w:t>
      </w:r>
      <w:proofErr w:type="spellEnd"/>
      <w:r w:rsidR="00F27C17" w:rsidRPr="002A7096">
        <w:rPr>
          <w:rFonts w:ascii="Times New Roman" w:hAnsi="Times New Roman"/>
          <w:lang w:val="sr-Latn-CS"/>
        </w:rPr>
        <w:t xml:space="preserve">., 125/2014 - усклађени дин. </w:t>
      </w:r>
      <w:proofErr w:type="spellStart"/>
      <w:r w:rsidR="00F27C17" w:rsidRPr="002A7096">
        <w:rPr>
          <w:rFonts w:ascii="Times New Roman" w:hAnsi="Times New Roman"/>
          <w:lang w:val="sr-Latn-CS"/>
        </w:rPr>
        <w:t>изн</w:t>
      </w:r>
      <w:proofErr w:type="spellEnd"/>
      <w:r w:rsidR="00F27C17" w:rsidRPr="002A7096">
        <w:rPr>
          <w:rFonts w:ascii="Times New Roman" w:hAnsi="Times New Roman"/>
          <w:lang w:val="sr-Latn-CS"/>
        </w:rPr>
        <w:t xml:space="preserve">., 95/2015 - усклађени дин. </w:t>
      </w:r>
      <w:proofErr w:type="spellStart"/>
      <w:r w:rsidR="00F27C17" w:rsidRPr="002A7096">
        <w:rPr>
          <w:rFonts w:ascii="Times New Roman" w:hAnsi="Times New Roman"/>
          <w:lang w:val="sr-Latn-CS"/>
        </w:rPr>
        <w:t>изн</w:t>
      </w:r>
      <w:proofErr w:type="spellEnd"/>
      <w:r w:rsidR="00F27C17" w:rsidRPr="002A7096">
        <w:rPr>
          <w:rFonts w:ascii="Times New Roman" w:hAnsi="Times New Roman"/>
          <w:lang w:val="sr-Latn-CS"/>
        </w:rPr>
        <w:t xml:space="preserve">., 83/2016, 91/2016 - усклађени дин. </w:t>
      </w:r>
      <w:proofErr w:type="spellStart"/>
      <w:r w:rsidR="00F27C17" w:rsidRPr="002A7096">
        <w:rPr>
          <w:rFonts w:ascii="Times New Roman" w:hAnsi="Times New Roman"/>
          <w:lang w:val="sr-Latn-CS"/>
        </w:rPr>
        <w:t>изн</w:t>
      </w:r>
      <w:proofErr w:type="spellEnd"/>
      <w:r w:rsidR="00F27C17" w:rsidRPr="002A7096">
        <w:rPr>
          <w:rFonts w:ascii="Times New Roman" w:hAnsi="Times New Roman"/>
          <w:lang w:val="sr-Latn-CS"/>
        </w:rPr>
        <w:t xml:space="preserve">., 104/2016 - др. закон и 96/2017 - усклађени дин. </w:t>
      </w:r>
      <w:proofErr w:type="spellStart"/>
      <w:r w:rsidR="00F27C17" w:rsidRPr="002A7096">
        <w:rPr>
          <w:rFonts w:ascii="Times New Roman" w:hAnsi="Times New Roman"/>
          <w:lang w:val="sr-Latn-CS"/>
        </w:rPr>
        <w:t>изн</w:t>
      </w:r>
      <w:proofErr w:type="spellEnd"/>
      <w:r w:rsidR="00F27C17" w:rsidRPr="002A7096">
        <w:rPr>
          <w:rFonts w:ascii="Times New Roman" w:hAnsi="Times New Roman"/>
          <w:lang w:val="sr-Latn-CS"/>
        </w:rPr>
        <w:t>.</w:t>
      </w:r>
      <w:r w:rsidR="00625208" w:rsidRPr="002A7096">
        <w:rPr>
          <w:rFonts w:ascii="Times New Roman" w:hAnsi="Times New Roman"/>
          <w:lang w:val="sr-Latn-CS"/>
        </w:rPr>
        <w:t>) и чл. 36. Статута општине Врњачка Бања ("Службени лист Општине Врњачка Бања" бр. 23/16-пречишћени текст)</w:t>
      </w:r>
      <w:r w:rsidR="00862DF0" w:rsidRPr="002A7096">
        <w:rPr>
          <w:rFonts w:ascii="Times New Roman" w:hAnsi="Times New Roman"/>
          <w:lang w:val="sr-Latn-CS"/>
        </w:rPr>
        <w:t>.</w:t>
      </w:r>
    </w:p>
    <w:p w:rsidR="008C1DD1" w:rsidRPr="002A7096" w:rsidRDefault="00862DF0" w:rsidP="00862DF0">
      <w:p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II РАЗЛОЗИ ЗА ПРЕДЛАГАЊЕ ОДЛУКЕ- ФИНАНСИЈСКЕ ПРИРОДЕ</w:t>
      </w:r>
    </w:p>
    <w:p w:rsidR="00862DF0" w:rsidRPr="002A7096" w:rsidRDefault="00862DF0" w:rsidP="00862DF0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EF2604" w:rsidRPr="002A7096" w:rsidRDefault="00EF2604" w:rsidP="00822208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Разлози за предлагање Ребаланса Одлуке о буџету општине Врњачка за </w:t>
      </w:r>
      <w:proofErr w:type="spellStart"/>
      <w:r w:rsidRPr="002A7096">
        <w:rPr>
          <w:rFonts w:ascii="Times New Roman" w:hAnsi="Times New Roman"/>
          <w:lang w:val="sr-Latn-CS"/>
        </w:rPr>
        <w:t>2018.годину</w:t>
      </w:r>
      <w:proofErr w:type="spellEnd"/>
      <w:r w:rsidRPr="002A7096">
        <w:rPr>
          <w:rFonts w:ascii="Times New Roman" w:hAnsi="Times New Roman"/>
          <w:lang w:val="sr-Latn-CS"/>
        </w:rPr>
        <w:t xml:space="preserve"> су следећи:</w:t>
      </w:r>
    </w:p>
    <w:p w:rsidR="00EF2604" w:rsidRPr="002A7096" w:rsidRDefault="00EF2604" w:rsidP="00EF2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Распоред нераспоређеног вишка прихода над расходима према Одлуци о завршном рачуну буџета општине Врњачка Бања за </w:t>
      </w:r>
      <w:proofErr w:type="spellStart"/>
      <w:r w:rsidRPr="002A7096">
        <w:rPr>
          <w:rFonts w:ascii="Times New Roman" w:hAnsi="Times New Roman"/>
          <w:lang w:val="sr-Latn-CS"/>
        </w:rPr>
        <w:t>2017.г</w:t>
      </w:r>
      <w:proofErr w:type="spellEnd"/>
      <w:r w:rsidRPr="002A7096">
        <w:rPr>
          <w:rFonts w:ascii="Times New Roman" w:hAnsi="Times New Roman"/>
          <w:lang w:val="sr-Latn-CS"/>
        </w:rPr>
        <w:t>. („Службени лист општине Врњачка Бања“ број 15/18);</w:t>
      </w:r>
    </w:p>
    <w:p w:rsidR="006D53C3" w:rsidRPr="002A7096" w:rsidRDefault="00EF2604" w:rsidP="00EF2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П</w:t>
      </w:r>
      <w:r w:rsidR="007114C8" w:rsidRPr="002A7096">
        <w:rPr>
          <w:rFonts w:ascii="Times New Roman" w:hAnsi="Times New Roman"/>
          <w:lang w:val="sr-Latn-CS"/>
        </w:rPr>
        <w:t>редлог извршног органа за</w:t>
      </w:r>
      <w:r w:rsidR="00822208" w:rsidRPr="002A7096">
        <w:rPr>
          <w:rFonts w:ascii="Times New Roman" w:hAnsi="Times New Roman"/>
          <w:lang w:val="sr-Latn-CS"/>
        </w:rPr>
        <w:t xml:space="preserve"> </w:t>
      </w:r>
      <w:r w:rsidR="007114C8" w:rsidRPr="002A7096">
        <w:rPr>
          <w:rFonts w:ascii="Times New Roman" w:hAnsi="Times New Roman"/>
          <w:lang w:val="sr-Latn-CS"/>
        </w:rPr>
        <w:t xml:space="preserve">укључивање у буџет нових пројеката, планирање недостајућих средстава на појединим </w:t>
      </w:r>
      <w:proofErr w:type="spellStart"/>
      <w:r w:rsidR="007114C8" w:rsidRPr="002A7096">
        <w:rPr>
          <w:rFonts w:ascii="Times New Roman" w:hAnsi="Times New Roman"/>
          <w:lang w:val="sr-Latn-CS"/>
        </w:rPr>
        <w:t>апропријацијама</w:t>
      </w:r>
      <w:proofErr w:type="spellEnd"/>
      <w:r w:rsidR="007114C8" w:rsidRPr="002A7096">
        <w:rPr>
          <w:rFonts w:ascii="Times New Roman" w:hAnsi="Times New Roman"/>
          <w:lang w:val="sr-Latn-CS"/>
        </w:rPr>
        <w:t xml:space="preserve"> за које се показало да неће бити довољне за финансирање свих планираних активности. </w:t>
      </w:r>
    </w:p>
    <w:p w:rsidR="00D25D3F" w:rsidRPr="002A7096" w:rsidRDefault="00D25D3F" w:rsidP="00D25D3F">
      <w:pPr>
        <w:spacing w:after="0" w:line="240" w:lineRule="auto"/>
        <w:ind w:left="927"/>
        <w:jc w:val="both"/>
        <w:rPr>
          <w:rFonts w:ascii="Times New Roman" w:hAnsi="Times New Roman"/>
          <w:lang w:val="sr-Latn-CS"/>
        </w:rPr>
      </w:pPr>
    </w:p>
    <w:p w:rsidR="00D25D3F" w:rsidRPr="002A7096" w:rsidRDefault="00D25D3F" w:rsidP="00D25D3F">
      <w:p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III ПРОМЕНЕ КОЈЕ СЕ ПРЕДЛАЖУ РЕБАЛАНСОМ БУЏЕТА</w:t>
      </w:r>
    </w:p>
    <w:p w:rsidR="00973461" w:rsidRPr="002A7096" w:rsidRDefault="00973461" w:rsidP="00973461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D25D3F" w:rsidRPr="002A7096" w:rsidRDefault="00D25D3F" w:rsidP="00973461">
      <w:pPr>
        <w:spacing w:after="0" w:line="240" w:lineRule="auto"/>
        <w:jc w:val="both"/>
        <w:rPr>
          <w:rFonts w:ascii="Times New Roman" w:hAnsi="Times New Roman"/>
          <w:u w:val="single"/>
          <w:lang w:val="sr-Latn-CS"/>
        </w:rPr>
      </w:pPr>
      <w:r w:rsidRPr="002A7096">
        <w:rPr>
          <w:rFonts w:ascii="Times New Roman" w:hAnsi="Times New Roman"/>
          <w:lang w:val="sr-Latn-CS"/>
        </w:rPr>
        <w:tab/>
      </w:r>
      <w:r w:rsidR="0054075E" w:rsidRPr="002A7096">
        <w:rPr>
          <w:rFonts w:ascii="Times New Roman" w:hAnsi="Times New Roman"/>
          <w:u w:val="single"/>
          <w:lang w:val="sr-Latn-CS"/>
        </w:rPr>
        <w:t>Приходи</w:t>
      </w:r>
      <w:r w:rsidRPr="002A7096">
        <w:rPr>
          <w:rFonts w:ascii="Times New Roman" w:hAnsi="Times New Roman"/>
          <w:u w:val="single"/>
          <w:lang w:val="sr-Latn-CS"/>
        </w:rPr>
        <w:t xml:space="preserve"> </w:t>
      </w:r>
    </w:p>
    <w:p w:rsidR="00D25D3F" w:rsidRPr="002A7096" w:rsidRDefault="00D25D3F" w:rsidP="00973461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862DF0" w:rsidRPr="002A7096" w:rsidRDefault="00862DF0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Ребаланс који се предлаже израђен је </w:t>
      </w:r>
      <w:r w:rsidR="000A0803" w:rsidRPr="002A7096">
        <w:rPr>
          <w:rFonts w:ascii="Times New Roman" w:hAnsi="Times New Roman"/>
          <w:lang w:val="sr-Latn-CS"/>
        </w:rPr>
        <w:t xml:space="preserve">на </w:t>
      </w:r>
      <w:r w:rsidR="007C074A" w:rsidRPr="002A7096">
        <w:rPr>
          <w:rFonts w:ascii="Times New Roman" w:hAnsi="Times New Roman"/>
          <w:lang w:val="sr-Latn-CS"/>
        </w:rPr>
        <w:t>вишем</w:t>
      </w:r>
      <w:r w:rsidR="0062520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 xml:space="preserve">нивоу прихода и расхода </w:t>
      </w:r>
      <w:r w:rsidR="00D132A4" w:rsidRPr="002A7096">
        <w:rPr>
          <w:rFonts w:ascii="Times New Roman" w:hAnsi="Times New Roman"/>
          <w:lang w:val="sr-Latn-CS"/>
        </w:rPr>
        <w:t xml:space="preserve">из извора финансирања 01 – текући приходи </w:t>
      </w:r>
      <w:r w:rsidRPr="002A7096">
        <w:rPr>
          <w:rFonts w:ascii="Times New Roman" w:hAnsi="Times New Roman"/>
          <w:lang w:val="sr-Latn-CS"/>
        </w:rPr>
        <w:t>утврђеним Одлуком о буџ</w:t>
      </w:r>
      <w:r w:rsidR="00864EFC" w:rsidRPr="002A7096">
        <w:rPr>
          <w:rFonts w:ascii="Times New Roman" w:hAnsi="Times New Roman"/>
          <w:lang w:val="sr-Latn-CS"/>
        </w:rPr>
        <w:t xml:space="preserve">ету општине Врњачка Бања за </w:t>
      </w:r>
      <w:proofErr w:type="spellStart"/>
      <w:r w:rsidR="00864EFC" w:rsidRPr="002A7096">
        <w:rPr>
          <w:rFonts w:ascii="Times New Roman" w:hAnsi="Times New Roman"/>
          <w:lang w:val="sr-Latn-CS"/>
        </w:rPr>
        <w:t>201</w:t>
      </w:r>
      <w:r w:rsidR="00F27C17" w:rsidRPr="002A7096">
        <w:rPr>
          <w:rFonts w:ascii="Times New Roman" w:hAnsi="Times New Roman"/>
          <w:lang w:val="sr-Latn-CS"/>
        </w:rPr>
        <w:t>8</w:t>
      </w:r>
      <w:r w:rsidRPr="002A7096">
        <w:rPr>
          <w:rFonts w:ascii="Times New Roman" w:hAnsi="Times New Roman"/>
          <w:lang w:val="sr-Latn-CS"/>
        </w:rPr>
        <w:t>.годину</w:t>
      </w:r>
      <w:proofErr w:type="spellEnd"/>
      <w:r w:rsidR="00973461" w:rsidRPr="002A7096">
        <w:rPr>
          <w:rFonts w:ascii="Times New Roman" w:hAnsi="Times New Roman"/>
          <w:lang w:val="sr-Latn-CS"/>
        </w:rPr>
        <w:t xml:space="preserve"> ("Службени ли</w:t>
      </w:r>
      <w:r w:rsidR="00864EFC" w:rsidRPr="002A7096">
        <w:rPr>
          <w:rFonts w:ascii="Times New Roman" w:hAnsi="Times New Roman"/>
          <w:lang w:val="sr-Latn-CS"/>
        </w:rPr>
        <w:t>ст опш</w:t>
      </w:r>
      <w:r w:rsidR="00822208" w:rsidRPr="002A7096">
        <w:rPr>
          <w:rFonts w:ascii="Times New Roman" w:hAnsi="Times New Roman"/>
          <w:lang w:val="sr-Latn-CS"/>
        </w:rPr>
        <w:t xml:space="preserve">тине Врњачка </w:t>
      </w:r>
      <w:r w:rsidR="00625208" w:rsidRPr="002A7096">
        <w:rPr>
          <w:rFonts w:ascii="Times New Roman" w:hAnsi="Times New Roman"/>
          <w:lang w:val="sr-Latn-CS"/>
        </w:rPr>
        <w:t xml:space="preserve">Бања" </w:t>
      </w:r>
      <w:r w:rsidR="00F27C17" w:rsidRPr="002A7096">
        <w:rPr>
          <w:rFonts w:ascii="Times New Roman" w:hAnsi="Times New Roman"/>
          <w:lang w:val="sr-Latn-CS"/>
        </w:rPr>
        <w:t>бр.  38/17</w:t>
      </w:r>
      <w:r w:rsidR="00973EAD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и</w:t>
      </w:r>
      <w:r w:rsidR="00973EAD" w:rsidRPr="002A7096">
        <w:rPr>
          <w:rFonts w:ascii="Times New Roman" w:hAnsi="Times New Roman"/>
          <w:lang w:val="sr-Latn-CS"/>
        </w:rPr>
        <w:t xml:space="preserve"> 9/18</w:t>
      </w:r>
      <w:r w:rsidR="00973461" w:rsidRPr="002A7096">
        <w:rPr>
          <w:rFonts w:ascii="Times New Roman" w:hAnsi="Times New Roman"/>
          <w:lang w:val="sr-Latn-CS"/>
        </w:rPr>
        <w:t>)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и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то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у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износу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од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="00F53A73" w:rsidRPr="00F53A73">
        <w:rPr>
          <w:rFonts w:ascii="Times New Roman" w:hAnsi="Times New Roman"/>
          <w:b/>
          <w:lang w:val="sr-Latn-CS"/>
        </w:rPr>
        <w:t>1.390.964.000</w:t>
      </w:r>
      <w:r w:rsidR="00F53A73">
        <w:rPr>
          <w:rFonts w:ascii="Times New Roman" w:hAnsi="Times New Roman"/>
          <w:b/>
          <w:lang w:val="sr-Latn-CS"/>
        </w:rPr>
        <w:t xml:space="preserve"> </w:t>
      </w:r>
      <w:r w:rsidR="007C074A" w:rsidRPr="002A7096">
        <w:rPr>
          <w:rFonts w:ascii="Times New Roman" w:hAnsi="Times New Roman"/>
          <w:lang w:val="sr-Latn-CS"/>
        </w:rPr>
        <w:t>динара</w:t>
      </w:r>
      <w:r w:rsidR="00DB5CA5" w:rsidRPr="002A7096">
        <w:rPr>
          <w:rFonts w:ascii="Times New Roman" w:hAnsi="Times New Roman"/>
          <w:lang w:val="sr-Latn-CS"/>
        </w:rPr>
        <w:t>.</w:t>
      </w:r>
    </w:p>
    <w:p w:rsidR="00C642C1" w:rsidRPr="002A7096" w:rsidRDefault="003B73CC" w:rsidP="008E4B66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szCs w:val="22"/>
          <w:lang w:val="sr-Latn-CS"/>
        </w:rPr>
        <w:t>Приходи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буџета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општине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Врњачка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Бања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за</w:t>
      </w:r>
      <w:r w:rsidR="00C642C1" w:rsidRPr="002A7096">
        <w:rPr>
          <w:szCs w:val="22"/>
          <w:lang w:val="sr-Latn-CS"/>
        </w:rPr>
        <w:t xml:space="preserve"> </w:t>
      </w:r>
      <w:proofErr w:type="spellStart"/>
      <w:r w:rsidR="00C642C1" w:rsidRPr="002A7096">
        <w:rPr>
          <w:szCs w:val="22"/>
          <w:lang w:val="sr-Latn-CS"/>
        </w:rPr>
        <w:t>2018.</w:t>
      </w:r>
      <w:r w:rsidRPr="002A7096">
        <w:rPr>
          <w:szCs w:val="22"/>
          <w:lang w:val="sr-Latn-CS"/>
        </w:rPr>
        <w:t>г</w:t>
      </w:r>
      <w:proofErr w:type="spellEnd"/>
      <w:r w:rsidR="00C642C1" w:rsidRPr="002A7096">
        <w:rPr>
          <w:szCs w:val="22"/>
          <w:lang w:val="sr-Latn-CS"/>
        </w:rPr>
        <w:t xml:space="preserve">. </w:t>
      </w:r>
      <w:r w:rsidRPr="002A7096">
        <w:rPr>
          <w:szCs w:val="22"/>
          <w:lang w:val="sr-Latn-CS"/>
        </w:rPr>
        <w:t>утврђени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су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иницијалном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одлуком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о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буџету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у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износу</w:t>
      </w:r>
      <w:r w:rsidR="00C642C1" w:rsidRPr="002A7096">
        <w:rPr>
          <w:szCs w:val="22"/>
          <w:lang w:val="sr-Latn-CS"/>
        </w:rPr>
        <w:t xml:space="preserve"> </w:t>
      </w:r>
      <w:r w:rsidRPr="002A7096">
        <w:rPr>
          <w:szCs w:val="22"/>
          <w:lang w:val="sr-Latn-CS"/>
        </w:rPr>
        <w:t>од</w:t>
      </w:r>
      <w:r w:rsidR="00C642C1" w:rsidRPr="002A7096">
        <w:rPr>
          <w:szCs w:val="22"/>
          <w:lang w:val="sr-Latn-CS"/>
        </w:rPr>
        <w:t xml:space="preserve"> </w:t>
      </w:r>
      <w:r w:rsidR="00C642C1" w:rsidRPr="002A7096">
        <w:rPr>
          <w:b/>
          <w:bCs/>
          <w:szCs w:val="22"/>
          <w:lang w:val="sr-Latn-CS"/>
        </w:rPr>
        <w:t xml:space="preserve">1.151.316.000 </w:t>
      </w:r>
      <w:r w:rsidRPr="002A7096">
        <w:rPr>
          <w:bCs/>
          <w:szCs w:val="22"/>
          <w:lang w:val="sr-Latn-CS"/>
        </w:rPr>
        <w:t>динара</w:t>
      </w:r>
      <w:r w:rsidR="00C642C1" w:rsidRPr="002A7096">
        <w:rPr>
          <w:bCs/>
          <w:szCs w:val="22"/>
          <w:lang w:val="sr-Latn-CS"/>
        </w:rPr>
        <w:t xml:space="preserve"> (</w:t>
      </w:r>
      <w:r w:rsidRPr="002A7096">
        <w:rPr>
          <w:bCs/>
          <w:szCs w:val="22"/>
          <w:lang w:val="sr-Latn-CS"/>
        </w:rPr>
        <w:t>из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извора</w:t>
      </w:r>
      <w:r w:rsidR="00C642C1" w:rsidRPr="002A7096">
        <w:rPr>
          <w:bCs/>
          <w:szCs w:val="22"/>
          <w:lang w:val="sr-Latn-CS"/>
        </w:rPr>
        <w:t xml:space="preserve"> 01-</w:t>
      </w:r>
      <w:r w:rsidRPr="002A7096">
        <w:rPr>
          <w:bCs/>
          <w:szCs w:val="22"/>
          <w:lang w:val="sr-Latn-CS"/>
        </w:rPr>
        <w:t>текући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буџета</w:t>
      </w:r>
      <w:r w:rsidR="00C642C1" w:rsidRPr="002A7096">
        <w:rPr>
          <w:bCs/>
          <w:szCs w:val="22"/>
          <w:lang w:val="sr-Latn-CS"/>
        </w:rPr>
        <w:t xml:space="preserve">). </w:t>
      </w:r>
      <w:r w:rsidR="00BB4133" w:rsidRPr="002A7096">
        <w:rPr>
          <w:bCs/>
          <w:szCs w:val="22"/>
          <w:lang w:val="sr-Latn-CS"/>
        </w:rPr>
        <w:t>Првим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ребалансом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укупни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приходи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и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примања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увећани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су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>на</w:t>
      </w:r>
      <w:r w:rsidR="008E4B66"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/>
          <w:bCs/>
          <w:szCs w:val="22"/>
          <w:lang w:val="sr-Latn-CS"/>
        </w:rPr>
        <w:t>1.334.686.000</w:t>
      </w:r>
      <w:r w:rsidR="00BB4133" w:rsidRPr="002A7096">
        <w:rPr>
          <w:bCs/>
          <w:szCs w:val="22"/>
          <w:lang w:val="sr-Latn-CS"/>
        </w:rPr>
        <w:t xml:space="preserve"> динара. </w:t>
      </w:r>
      <w:r w:rsidRPr="002A7096">
        <w:rPr>
          <w:bCs/>
          <w:szCs w:val="22"/>
          <w:lang w:val="sr-Latn-CS"/>
        </w:rPr>
        <w:t>Упутством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припрему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локалне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власти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које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доставило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Министарство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финансија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приликом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планирања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Pr="002A7096">
        <w:rPr>
          <w:bCs/>
          <w:szCs w:val="22"/>
          <w:lang w:val="sr-Latn-CS"/>
        </w:rPr>
        <w:t>приходне</w:t>
      </w:r>
      <w:proofErr w:type="spellEnd"/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стране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прописано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полази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остварења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првих</w:t>
      </w:r>
      <w:r w:rsidR="00C642C1" w:rsidRPr="002A7096">
        <w:rPr>
          <w:bCs/>
          <w:szCs w:val="22"/>
          <w:lang w:val="sr-Latn-CS"/>
        </w:rPr>
        <w:t xml:space="preserve"> 10 </w:t>
      </w:r>
      <w:r w:rsidRPr="002A7096">
        <w:rPr>
          <w:bCs/>
          <w:szCs w:val="22"/>
          <w:lang w:val="sr-Latn-CS"/>
        </w:rPr>
        <w:t>месеци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2017.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пројекције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остварења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краја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2017.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Овако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утврђена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база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увећана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дозвољени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раст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складу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параметрима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макроекономске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политике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то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6,4% </w:t>
      </w:r>
      <w:r w:rsidRPr="002A7096">
        <w:rPr>
          <w:bCs/>
          <w:szCs w:val="22"/>
          <w:lang w:val="sr-Latn-CS"/>
        </w:rPr>
        <w:t>максимално</w:t>
      </w:r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Планирани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износ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укупних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укључио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смернице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пројекције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извршне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власти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планирања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раста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изворних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локалних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, </w:t>
      </w:r>
      <w:r w:rsidRPr="002A7096">
        <w:rPr>
          <w:bCs/>
          <w:szCs w:val="22"/>
          <w:lang w:val="sr-Latn-CS"/>
        </w:rPr>
        <w:t>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пројекција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садржи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позитивне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тенденције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области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изградње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објеката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која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очекује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те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овом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основу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планиран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износ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доприноса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грађевинско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земљиште</w:t>
      </w:r>
      <w:r w:rsidR="00C642C1" w:rsidRPr="002A7096">
        <w:rPr>
          <w:bCs/>
          <w:szCs w:val="22"/>
          <w:lang w:val="sr-Latn-CS"/>
        </w:rPr>
        <w:t xml:space="preserve">, </w:t>
      </w:r>
      <w:r w:rsidRPr="002A7096">
        <w:rPr>
          <w:bCs/>
          <w:szCs w:val="22"/>
          <w:lang w:val="sr-Latn-CS"/>
        </w:rPr>
        <w:t>ефекте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Pr="002A7096">
        <w:rPr>
          <w:bCs/>
          <w:szCs w:val="22"/>
          <w:lang w:val="sr-Latn-CS"/>
        </w:rPr>
        <w:t>озакоњења</w:t>
      </w:r>
      <w:proofErr w:type="spellEnd"/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објеката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обзиром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рокови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овај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посао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истичу</w:t>
      </w:r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На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овако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утврђене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треба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додати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пројекцију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продаје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непокретности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која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није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функцији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обављања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надлежности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органа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организација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општине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Врњачка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Бања</w:t>
      </w:r>
      <w:r w:rsidR="00EF2604" w:rsidRPr="002A7096">
        <w:rPr>
          <w:bCs/>
          <w:szCs w:val="22"/>
          <w:lang w:val="sr-Latn-CS"/>
        </w:rPr>
        <w:t>.</w:t>
      </w:r>
    </w:p>
    <w:p w:rsidR="00EF2604" w:rsidRPr="002A7096" w:rsidRDefault="003B73CC" w:rsidP="00EF2604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делу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који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односи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процену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фискалних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ризика</w:t>
      </w:r>
      <w:r w:rsidR="00C642C1" w:rsidRPr="002A7096">
        <w:rPr>
          <w:bCs/>
          <w:szCs w:val="22"/>
          <w:lang w:val="sr-Latn-CS"/>
        </w:rPr>
        <w:t xml:space="preserve">, </w:t>
      </w:r>
      <w:r w:rsidRPr="002A7096">
        <w:rPr>
          <w:bCs/>
          <w:szCs w:val="22"/>
          <w:lang w:val="sr-Latn-CS"/>
        </w:rPr>
        <w:t>можемо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рећи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они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остају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врсти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идентични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као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они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који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дати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образложењу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приликом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усвајања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Одлуке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општине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Врњачка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Бања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>.</w:t>
      </w:r>
      <w:r w:rsidRPr="002A7096">
        <w:rPr>
          <w:bCs/>
          <w:szCs w:val="22"/>
          <w:lang w:val="sr-Latn-CS"/>
        </w:rPr>
        <w:t>,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уз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додатак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сразмерно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увећању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планиране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висине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примања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C642C1" w:rsidRPr="002A7096">
        <w:rPr>
          <w:bCs/>
          <w:szCs w:val="22"/>
          <w:lang w:val="sr-Latn-CS"/>
        </w:rPr>
        <w:t xml:space="preserve"> </w:t>
      </w:r>
      <w:proofErr w:type="spellStart"/>
      <w:r w:rsidR="00C642C1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C642C1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увећава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се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степен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утицај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ових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фискалних</w:t>
      </w:r>
      <w:r w:rsidR="00C642C1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ризика</w:t>
      </w:r>
      <w:r w:rsidR="00C642C1" w:rsidRPr="002A7096">
        <w:rPr>
          <w:bCs/>
          <w:szCs w:val="22"/>
          <w:lang w:val="sr-Latn-CS"/>
        </w:rPr>
        <w:t>.</w:t>
      </w:r>
      <w:r w:rsidRPr="002A7096">
        <w:rPr>
          <w:bCs/>
          <w:szCs w:val="22"/>
          <w:lang w:val="sr-Latn-CS"/>
        </w:rPr>
        <w:t xml:space="preserve"> Фискални ризици се односе пре свега на вероватноћу остварења укупне висине прихода која није промењена, остаје на истом нивоу као и приликом доношења буџета за </w:t>
      </w:r>
      <w:proofErr w:type="spellStart"/>
      <w:r w:rsidRPr="002A7096">
        <w:rPr>
          <w:bCs/>
          <w:szCs w:val="22"/>
          <w:lang w:val="sr-Latn-CS"/>
        </w:rPr>
        <w:t>2018.г</w:t>
      </w:r>
      <w:proofErr w:type="spellEnd"/>
      <w:r w:rsidRPr="002A7096">
        <w:rPr>
          <w:bCs/>
          <w:szCs w:val="22"/>
          <w:lang w:val="sr-Latn-CS"/>
        </w:rPr>
        <w:t>. према под</w:t>
      </w:r>
      <w:r w:rsidR="00BB4133" w:rsidRPr="002A7096">
        <w:rPr>
          <w:bCs/>
          <w:szCs w:val="22"/>
          <w:lang w:val="sr-Latn-CS"/>
        </w:rPr>
        <w:t>ацима о остварењу прихода у првих</w:t>
      </w:r>
      <w:r w:rsidRPr="002A7096">
        <w:rPr>
          <w:bCs/>
          <w:szCs w:val="22"/>
          <w:lang w:val="sr-Latn-CS"/>
        </w:rPr>
        <w:t xml:space="preserve"> </w:t>
      </w:r>
      <w:r w:rsidR="00BB4133" w:rsidRPr="002A7096">
        <w:rPr>
          <w:bCs/>
          <w:szCs w:val="22"/>
          <w:lang w:val="sr-Latn-CS"/>
        </w:rPr>
        <w:t xml:space="preserve">пет месеци у </w:t>
      </w:r>
      <w:proofErr w:type="spellStart"/>
      <w:r w:rsidR="00BB4133" w:rsidRPr="002A7096">
        <w:rPr>
          <w:bCs/>
          <w:szCs w:val="22"/>
          <w:lang w:val="sr-Latn-CS"/>
        </w:rPr>
        <w:t>2018.г</w:t>
      </w:r>
      <w:proofErr w:type="spellEnd"/>
      <w:r w:rsidRPr="002A7096">
        <w:rPr>
          <w:bCs/>
          <w:szCs w:val="22"/>
          <w:lang w:val="sr-Latn-CS"/>
        </w:rPr>
        <w:t>.</w:t>
      </w:r>
      <w:r w:rsidR="00BB4133" w:rsidRPr="002A7096">
        <w:rPr>
          <w:bCs/>
          <w:szCs w:val="22"/>
          <w:lang w:val="sr-Latn-CS"/>
        </w:rPr>
        <w:t xml:space="preserve"> Оно што се може приметити је да су поједини приходи динамички остварени у вишим износима од просечног оквира, што је допринело ликвидности буџета у овом период. </w:t>
      </w:r>
      <w:r w:rsidRPr="002A7096">
        <w:rPr>
          <w:bCs/>
          <w:szCs w:val="22"/>
          <w:lang w:val="sr-Latn-CS"/>
        </w:rPr>
        <w:t xml:space="preserve"> Јако је важно да се </w:t>
      </w:r>
      <w:proofErr w:type="spellStart"/>
      <w:r w:rsidRPr="002A7096">
        <w:rPr>
          <w:bCs/>
          <w:szCs w:val="22"/>
          <w:lang w:val="sr-Latn-CS"/>
        </w:rPr>
        <w:t>фискали</w:t>
      </w:r>
      <w:proofErr w:type="spellEnd"/>
      <w:r w:rsidRPr="002A7096">
        <w:rPr>
          <w:bCs/>
          <w:szCs w:val="22"/>
          <w:lang w:val="sr-Latn-CS"/>
        </w:rPr>
        <w:t xml:space="preserve"> ризици који су исказани уваже приликом извршавања буџета од стране одговорних лица корисника буџета, по принципу опрезности, како би се преузимање обавеза ускладило са реално могућим приходима у </w:t>
      </w:r>
      <w:proofErr w:type="spellStart"/>
      <w:r w:rsidRPr="002A7096">
        <w:rPr>
          <w:bCs/>
          <w:szCs w:val="22"/>
          <w:lang w:val="sr-Latn-CS"/>
        </w:rPr>
        <w:t>2018.г</w:t>
      </w:r>
      <w:proofErr w:type="spellEnd"/>
      <w:r w:rsidRPr="002A7096">
        <w:rPr>
          <w:bCs/>
          <w:szCs w:val="22"/>
          <w:lang w:val="sr-Latn-CS"/>
        </w:rPr>
        <w:t xml:space="preserve">. У случају да се планске </w:t>
      </w:r>
      <w:r w:rsidRPr="002A7096">
        <w:rPr>
          <w:bCs/>
          <w:szCs w:val="22"/>
          <w:lang w:val="sr-Latn-CS"/>
        </w:rPr>
        <w:lastRenderedPageBreak/>
        <w:t>претпоставке о висини укупних планираних прихода не остваре у значајнијем проценту, а са друге стране дође до преузимања додатног обима обавеза, сви фискални ризици који се пре свега односе на ликвидност буџет</w:t>
      </w:r>
      <w:r w:rsidR="00BB4133" w:rsidRPr="002A7096">
        <w:rPr>
          <w:bCs/>
          <w:szCs w:val="22"/>
          <w:lang w:val="sr-Latn-CS"/>
        </w:rPr>
        <w:t>а</w:t>
      </w:r>
      <w:r w:rsidRPr="002A7096">
        <w:rPr>
          <w:bCs/>
          <w:szCs w:val="22"/>
          <w:lang w:val="sr-Latn-CS"/>
        </w:rPr>
        <w:t xml:space="preserve"> </w:t>
      </w:r>
      <w:r w:rsidR="00D66F99" w:rsidRPr="002A7096">
        <w:rPr>
          <w:bCs/>
          <w:szCs w:val="22"/>
          <w:lang w:val="sr-Latn-CS"/>
        </w:rPr>
        <w:t>испољиће</w:t>
      </w:r>
      <w:r w:rsidRPr="002A7096">
        <w:rPr>
          <w:bCs/>
          <w:szCs w:val="22"/>
          <w:lang w:val="sr-Latn-CS"/>
        </w:rPr>
        <w:t xml:space="preserve"> се у значајном износу.</w:t>
      </w:r>
      <w:r w:rsidR="00EF2604" w:rsidRPr="002A7096">
        <w:rPr>
          <w:bCs/>
          <w:szCs w:val="22"/>
          <w:lang w:val="sr-Latn-CS"/>
        </w:rPr>
        <w:t xml:space="preserve"> </w:t>
      </w:r>
    </w:p>
    <w:p w:rsidR="00EF2604" w:rsidRPr="002A7096" w:rsidRDefault="00A642EB" w:rsidP="00EF2604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bCs/>
          <w:szCs w:val="22"/>
          <w:lang w:val="sr-Latn-CS"/>
        </w:rPr>
        <w:t>Према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показатељима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остварења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прихода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пореза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зараде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даље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постоји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позитиван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тренд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везан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висину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зарада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броја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запослених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нешто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изнад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очекиване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динамике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што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даје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ефекат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нових</w:t>
      </w:r>
      <w:r w:rsidR="00EF2604" w:rsidRPr="002A7096">
        <w:rPr>
          <w:bCs/>
          <w:szCs w:val="22"/>
          <w:lang w:val="sr-Latn-CS"/>
        </w:rPr>
        <w:t xml:space="preserve"> 20.000.000 </w:t>
      </w:r>
      <w:r w:rsidRPr="002A7096">
        <w:rPr>
          <w:bCs/>
          <w:szCs w:val="22"/>
          <w:lang w:val="sr-Latn-CS"/>
        </w:rPr>
        <w:t>динара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пореза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зараде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годишњем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нивоу</w:t>
      </w:r>
      <w:r w:rsidR="00EF2604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Овај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износ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послужио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као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основ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увећање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планске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висине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основу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пореза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зараде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EF2604" w:rsidRPr="002A7096">
        <w:rPr>
          <w:bCs/>
          <w:szCs w:val="22"/>
          <w:lang w:val="sr-Latn-CS"/>
        </w:rPr>
        <w:t xml:space="preserve"> </w:t>
      </w:r>
      <w:proofErr w:type="spellStart"/>
      <w:r w:rsidR="00EF2604" w:rsidRPr="002A7096">
        <w:rPr>
          <w:bCs/>
          <w:szCs w:val="22"/>
          <w:lang w:val="sr-Latn-CS"/>
        </w:rPr>
        <w:t>2018.</w:t>
      </w:r>
      <w:r w:rsidRPr="002A7096">
        <w:rPr>
          <w:bCs/>
          <w:szCs w:val="22"/>
          <w:lang w:val="sr-Latn-CS"/>
        </w:rPr>
        <w:t>г</w:t>
      </w:r>
      <w:proofErr w:type="spellEnd"/>
      <w:r w:rsidR="00EF2604" w:rsidRPr="002A7096">
        <w:rPr>
          <w:bCs/>
          <w:szCs w:val="22"/>
          <w:lang w:val="sr-Latn-CS"/>
        </w:rPr>
        <w:t>.</w:t>
      </w:r>
    </w:p>
    <w:p w:rsidR="00EF2604" w:rsidRPr="002A7096" w:rsidRDefault="00A642EB" w:rsidP="00EF2604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bCs/>
          <w:szCs w:val="22"/>
          <w:lang w:val="sr-Latn-CS"/>
        </w:rPr>
        <w:t>На</w:t>
      </w:r>
      <w:r w:rsidR="00EF2604" w:rsidRPr="002A7096">
        <w:rPr>
          <w:bCs/>
          <w:szCs w:val="22"/>
          <w:lang w:val="sr-Latn-CS"/>
        </w:rPr>
        <w:t xml:space="preserve"> </w:t>
      </w:r>
      <w:proofErr w:type="spellStart"/>
      <w:r w:rsidRPr="002A7096">
        <w:rPr>
          <w:bCs/>
          <w:szCs w:val="22"/>
          <w:lang w:val="sr-Latn-CS"/>
        </w:rPr>
        <w:t>приходној</w:t>
      </w:r>
      <w:proofErr w:type="spellEnd"/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страни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буџета</w:t>
      </w:r>
      <w:r w:rsidR="00EF2604" w:rsidRPr="002A7096">
        <w:rPr>
          <w:bCs/>
          <w:szCs w:val="22"/>
          <w:lang w:val="sr-Latn-CS"/>
        </w:rPr>
        <w:t xml:space="preserve"> </w:t>
      </w:r>
      <w:proofErr w:type="spellStart"/>
      <w:r w:rsidRPr="002A7096">
        <w:rPr>
          <w:bCs/>
          <w:szCs w:val="22"/>
          <w:lang w:val="sr-Latn-CS"/>
        </w:rPr>
        <w:t>укалкулисани</w:t>
      </w:r>
      <w:proofErr w:type="spellEnd"/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наменски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трансфери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нивоа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Републике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Србије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реализацију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пројеката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износу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од</w:t>
      </w:r>
      <w:r w:rsidR="00EF2604" w:rsidRPr="002A7096">
        <w:rPr>
          <w:bCs/>
          <w:szCs w:val="22"/>
          <w:lang w:val="sr-Latn-CS"/>
        </w:rPr>
        <w:t xml:space="preserve"> 10.000.000 </w:t>
      </w:r>
      <w:r w:rsidRPr="002A7096">
        <w:rPr>
          <w:bCs/>
          <w:szCs w:val="22"/>
          <w:lang w:val="sr-Latn-CS"/>
        </w:rPr>
        <w:t>динара</w:t>
      </w:r>
      <w:r w:rsidR="00EF2604" w:rsidRPr="002A7096">
        <w:rPr>
          <w:bCs/>
          <w:szCs w:val="22"/>
          <w:lang w:val="sr-Latn-CS"/>
        </w:rPr>
        <w:t xml:space="preserve">. </w:t>
      </w:r>
      <w:r w:rsidRPr="002A7096">
        <w:rPr>
          <w:bCs/>
          <w:szCs w:val="22"/>
          <w:lang w:val="sr-Latn-CS"/>
        </w:rPr>
        <w:t>Такође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увећан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је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план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примања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по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основу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продаје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имовине</w:t>
      </w:r>
      <w:r w:rsidR="00EF2604" w:rsidRPr="002A7096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за</w:t>
      </w:r>
      <w:r w:rsidR="00EF2604" w:rsidRPr="002A7096">
        <w:rPr>
          <w:bCs/>
          <w:szCs w:val="22"/>
          <w:lang w:val="sr-Latn-CS"/>
        </w:rPr>
        <w:t xml:space="preserve"> </w:t>
      </w:r>
      <w:r w:rsidR="00F53A73" w:rsidRPr="00F53A73">
        <w:rPr>
          <w:bCs/>
          <w:szCs w:val="22"/>
          <w:lang w:val="sr-Latn-CS"/>
        </w:rPr>
        <w:t>26.278.000</w:t>
      </w:r>
      <w:r w:rsidR="00F53A73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динара</w:t>
      </w:r>
      <w:r w:rsidR="00EF2604" w:rsidRPr="002A7096">
        <w:rPr>
          <w:bCs/>
          <w:szCs w:val="22"/>
          <w:lang w:val="sr-Latn-CS"/>
        </w:rPr>
        <w:t>.</w:t>
      </w:r>
    </w:p>
    <w:p w:rsidR="00A642EB" w:rsidRPr="002A7096" w:rsidRDefault="00A642EB" w:rsidP="00EF2604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bCs/>
          <w:szCs w:val="22"/>
          <w:lang w:val="sr-Latn-CS"/>
        </w:rPr>
        <w:t xml:space="preserve">Све ово даје ефекат увећања </w:t>
      </w:r>
      <w:proofErr w:type="spellStart"/>
      <w:r w:rsidRPr="002A7096">
        <w:rPr>
          <w:bCs/>
          <w:szCs w:val="22"/>
          <w:lang w:val="sr-Latn-CS"/>
        </w:rPr>
        <w:t>приходне</w:t>
      </w:r>
      <w:proofErr w:type="spellEnd"/>
      <w:r w:rsidRPr="002A7096">
        <w:rPr>
          <w:bCs/>
          <w:szCs w:val="22"/>
          <w:lang w:val="sr-Latn-CS"/>
        </w:rPr>
        <w:t xml:space="preserve"> стране буџета за </w:t>
      </w:r>
      <w:r w:rsidR="00F53A73">
        <w:rPr>
          <w:bCs/>
          <w:szCs w:val="22"/>
          <w:lang w:val="sr-Latn-CS"/>
        </w:rPr>
        <w:t>56</w:t>
      </w:r>
      <w:r w:rsidR="00F217FA" w:rsidRPr="00F217FA">
        <w:rPr>
          <w:bCs/>
          <w:szCs w:val="22"/>
          <w:lang w:val="sr-Latn-CS"/>
        </w:rPr>
        <w:t>.278.000</w:t>
      </w:r>
      <w:r w:rsidR="00F217FA">
        <w:rPr>
          <w:bCs/>
          <w:szCs w:val="22"/>
          <w:lang w:val="sr-Latn-CS"/>
        </w:rPr>
        <w:t xml:space="preserve"> </w:t>
      </w:r>
      <w:r w:rsidRPr="002A7096">
        <w:rPr>
          <w:bCs/>
          <w:szCs w:val="22"/>
          <w:lang w:val="sr-Latn-CS"/>
        </w:rPr>
        <w:t>динара.</w:t>
      </w:r>
    </w:p>
    <w:p w:rsidR="00C642C1" w:rsidRPr="002A7096" w:rsidRDefault="00C642C1" w:rsidP="00C642C1">
      <w:pPr>
        <w:pStyle w:val="BodyTextIndent2"/>
        <w:tabs>
          <w:tab w:val="left" w:pos="709"/>
        </w:tabs>
        <w:rPr>
          <w:bCs/>
          <w:szCs w:val="22"/>
          <w:lang w:val="sr-Latn-CS"/>
        </w:rPr>
      </w:pPr>
      <w:r w:rsidRPr="002A7096">
        <w:rPr>
          <w:bCs/>
          <w:szCs w:val="22"/>
          <w:lang w:val="sr-Latn-CS"/>
        </w:rPr>
        <w:t xml:space="preserve">Овако утврђена висина </w:t>
      </w:r>
      <w:proofErr w:type="spellStart"/>
      <w:r w:rsidRPr="002A7096">
        <w:rPr>
          <w:bCs/>
          <w:szCs w:val="22"/>
          <w:lang w:val="sr-Latn-CS"/>
        </w:rPr>
        <w:t>приходне</w:t>
      </w:r>
      <w:proofErr w:type="spellEnd"/>
      <w:r w:rsidRPr="002A7096">
        <w:rPr>
          <w:bCs/>
          <w:szCs w:val="22"/>
          <w:lang w:val="sr-Latn-CS"/>
        </w:rPr>
        <w:t xml:space="preserve"> стране буџета послужила је као основ за планирање расхода буџета Општине Врњачка Бања у </w:t>
      </w:r>
      <w:proofErr w:type="spellStart"/>
      <w:r w:rsidRPr="002A7096">
        <w:rPr>
          <w:bCs/>
          <w:szCs w:val="22"/>
          <w:lang w:val="sr-Latn-CS"/>
        </w:rPr>
        <w:t>2018.г</w:t>
      </w:r>
      <w:proofErr w:type="spellEnd"/>
      <w:r w:rsidRPr="002A7096">
        <w:rPr>
          <w:bCs/>
          <w:szCs w:val="22"/>
          <w:lang w:val="sr-Latn-CS"/>
        </w:rPr>
        <w:t>.</w:t>
      </w:r>
    </w:p>
    <w:p w:rsidR="00822208" w:rsidRPr="002A7096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Latn-CS"/>
        </w:rPr>
      </w:pPr>
    </w:p>
    <w:p w:rsidR="00D25D3F" w:rsidRPr="002A7096" w:rsidRDefault="00D25D3F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Latn-CS"/>
        </w:rPr>
      </w:pPr>
      <w:r w:rsidRPr="002A7096">
        <w:rPr>
          <w:rFonts w:ascii="Times New Roman" w:hAnsi="Times New Roman"/>
          <w:u w:val="single"/>
          <w:lang w:val="sr-Latn-CS"/>
        </w:rPr>
        <w:t>Расходи</w:t>
      </w:r>
    </w:p>
    <w:p w:rsidR="00812BFE" w:rsidRPr="002A7096" w:rsidRDefault="00812BFE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3A4848" w:rsidRPr="002A7096" w:rsidRDefault="005B5071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Првим</w:t>
      </w:r>
      <w:r w:rsidR="0087336F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р</w:t>
      </w:r>
      <w:r w:rsidR="0048523E" w:rsidRPr="002A7096">
        <w:rPr>
          <w:rFonts w:ascii="Times New Roman" w:hAnsi="Times New Roman"/>
          <w:lang w:val="sr-Latn-CS"/>
        </w:rPr>
        <w:t xml:space="preserve">ебалансом </w:t>
      </w:r>
      <w:r w:rsidRPr="002A7096">
        <w:rPr>
          <w:rFonts w:ascii="Times New Roman" w:hAnsi="Times New Roman"/>
          <w:lang w:val="sr-Latn-CS"/>
        </w:rPr>
        <w:t>у</w:t>
      </w:r>
      <w:r w:rsidR="0087336F" w:rsidRPr="002A7096">
        <w:rPr>
          <w:rFonts w:ascii="Times New Roman" w:hAnsi="Times New Roman"/>
          <w:lang w:val="sr-Latn-CS"/>
        </w:rPr>
        <w:t xml:space="preserve"> </w:t>
      </w:r>
      <w:proofErr w:type="spellStart"/>
      <w:r w:rsidR="0087336F" w:rsidRPr="002A7096">
        <w:rPr>
          <w:rFonts w:ascii="Times New Roman" w:hAnsi="Times New Roman"/>
          <w:lang w:val="sr-Latn-CS"/>
        </w:rPr>
        <w:t>201</w:t>
      </w:r>
      <w:r w:rsidR="00F27C17" w:rsidRPr="002A7096">
        <w:rPr>
          <w:rFonts w:ascii="Times New Roman" w:hAnsi="Times New Roman"/>
          <w:lang w:val="sr-Latn-CS"/>
        </w:rPr>
        <w:t>8</w:t>
      </w:r>
      <w:r w:rsidR="0087336F" w:rsidRPr="002A7096">
        <w:rPr>
          <w:rFonts w:ascii="Times New Roman" w:hAnsi="Times New Roman"/>
          <w:lang w:val="sr-Latn-CS"/>
        </w:rPr>
        <w:t>.</w:t>
      </w:r>
      <w:r w:rsidRPr="002A7096">
        <w:rPr>
          <w:rFonts w:ascii="Times New Roman" w:hAnsi="Times New Roman"/>
          <w:lang w:val="sr-Latn-CS"/>
        </w:rPr>
        <w:t>г</w:t>
      </w:r>
      <w:proofErr w:type="spellEnd"/>
      <w:r w:rsidR="0087336F" w:rsidRPr="002A7096">
        <w:rPr>
          <w:rFonts w:ascii="Times New Roman" w:hAnsi="Times New Roman"/>
          <w:lang w:val="sr-Latn-CS"/>
        </w:rPr>
        <w:t xml:space="preserve">. </w:t>
      </w:r>
      <w:r w:rsidR="0048523E" w:rsidRPr="002A7096">
        <w:rPr>
          <w:rFonts w:ascii="Times New Roman" w:hAnsi="Times New Roman"/>
          <w:lang w:val="sr-Latn-CS"/>
        </w:rPr>
        <w:t xml:space="preserve">се врши </w:t>
      </w:r>
      <w:r w:rsidR="00A642EB" w:rsidRPr="002A7096">
        <w:rPr>
          <w:rFonts w:ascii="Times New Roman" w:hAnsi="Times New Roman"/>
          <w:lang w:val="sr-Latn-CS"/>
        </w:rPr>
        <w:t xml:space="preserve">увећање </w:t>
      </w:r>
      <w:proofErr w:type="spellStart"/>
      <w:r w:rsidR="00A642EB" w:rsidRPr="002A7096">
        <w:rPr>
          <w:rFonts w:ascii="Times New Roman" w:hAnsi="Times New Roman"/>
          <w:lang w:val="sr-Latn-CS"/>
        </w:rPr>
        <w:t>апропријација</w:t>
      </w:r>
      <w:proofErr w:type="spellEnd"/>
      <w:r w:rsidR="00A642EB" w:rsidRPr="002A7096">
        <w:rPr>
          <w:rFonts w:ascii="Times New Roman" w:hAnsi="Times New Roman"/>
          <w:lang w:val="sr-Latn-CS"/>
        </w:rPr>
        <w:t xml:space="preserve"> и </w:t>
      </w:r>
      <w:r w:rsidR="007114C8" w:rsidRPr="002A7096">
        <w:rPr>
          <w:rFonts w:ascii="Times New Roman" w:hAnsi="Times New Roman"/>
          <w:lang w:val="sr-Latn-CS"/>
        </w:rPr>
        <w:t xml:space="preserve">промена износа </w:t>
      </w:r>
      <w:proofErr w:type="spellStart"/>
      <w:r w:rsidR="007114C8" w:rsidRPr="002A7096">
        <w:rPr>
          <w:rFonts w:ascii="Times New Roman" w:hAnsi="Times New Roman"/>
          <w:lang w:val="sr-Latn-CS"/>
        </w:rPr>
        <w:t>поједних</w:t>
      </w:r>
      <w:proofErr w:type="spellEnd"/>
      <w:r w:rsidR="003A4848" w:rsidRPr="002A7096">
        <w:rPr>
          <w:rFonts w:ascii="Times New Roman" w:hAnsi="Times New Roman"/>
          <w:lang w:val="sr-Latn-CS"/>
        </w:rPr>
        <w:t xml:space="preserve">  расхода у оквиру већ одобрених </w:t>
      </w:r>
      <w:proofErr w:type="spellStart"/>
      <w:r w:rsidR="003A4848" w:rsidRPr="002A7096">
        <w:rPr>
          <w:rFonts w:ascii="Times New Roman" w:hAnsi="Times New Roman"/>
          <w:lang w:val="sr-Latn-CS"/>
        </w:rPr>
        <w:t>апропријација</w:t>
      </w:r>
      <w:proofErr w:type="spellEnd"/>
      <w:r w:rsidR="003A4848" w:rsidRPr="002A7096">
        <w:rPr>
          <w:rFonts w:ascii="Times New Roman" w:hAnsi="Times New Roman"/>
          <w:lang w:val="sr-Latn-CS"/>
        </w:rPr>
        <w:t xml:space="preserve"> Одлуком о буџ</w:t>
      </w:r>
      <w:r w:rsidR="00F27C17" w:rsidRPr="002A7096">
        <w:rPr>
          <w:rFonts w:ascii="Times New Roman" w:hAnsi="Times New Roman"/>
          <w:lang w:val="sr-Latn-CS"/>
        </w:rPr>
        <w:t xml:space="preserve">ету Општине Врњачка Бања за </w:t>
      </w:r>
      <w:proofErr w:type="spellStart"/>
      <w:r w:rsidR="00F27C17" w:rsidRPr="002A7096">
        <w:rPr>
          <w:rFonts w:ascii="Times New Roman" w:hAnsi="Times New Roman"/>
          <w:lang w:val="sr-Latn-CS"/>
        </w:rPr>
        <w:t>2018</w:t>
      </w:r>
      <w:r w:rsidR="003A4848" w:rsidRPr="002A7096">
        <w:rPr>
          <w:rFonts w:ascii="Times New Roman" w:hAnsi="Times New Roman"/>
          <w:lang w:val="sr-Latn-CS"/>
        </w:rPr>
        <w:t>.г</w:t>
      </w:r>
      <w:proofErr w:type="spellEnd"/>
      <w:r w:rsidR="003A4848" w:rsidRPr="002A7096">
        <w:rPr>
          <w:rFonts w:ascii="Times New Roman" w:hAnsi="Times New Roman"/>
          <w:lang w:val="sr-Latn-CS"/>
        </w:rPr>
        <w:t xml:space="preserve">.  </w:t>
      </w:r>
      <w:r w:rsidR="007114C8" w:rsidRPr="002A7096">
        <w:rPr>
          <w:rFonts w:ascii="Times New Roman" w:hAnsi="Times New Roman"/>
          <w:lang w:val="sr-Latn-CS"/>
        </w:rPr>
        <w:t xml:space="preserve">увођење </w:t>
      </w:r>
      <w:proofErr w:type="spellStart"/>
      <w:r w:rsidR="007114C8" w:rsidRPr="002A7096">
        <w:rPr>
          <w:rFonts w:ascii="Times New Roman" w:hAnsi="Times New Roman"/>
          <w:lang w:val="sr-Latn-CS"/>
        </w:rPr>
        <w:t>апропријација</w:t>
      </w:r>
      <w:proofErr w:type="spellEnd"/>
      <w:r w:rsidR="007114C8" w:rsidRPr="002A7096">
        <w:rPr>
          <w:rFonts w:ascii="Times New Roman" w:hAnsi="Times New Roman"/>
          <w:lang w:val="sr-Latn-CS"/>
        </w:rPr>
        <w:t xml:space="preserve"> </w:t>
      </w:r>
      <w:r w:rsidR="00A642EB" w:rsidRPr="002A7096">
        <w:rPr>
          <w:rFonts w:ascii="Times New Roman" w:hAnsi="Times New Roman"/>
          <w:lang w:val="sr-Latn-CS"/>
        </w:rPr>
        <w:t xml:space="preserve">за финансирање нових пројеката </w:t>
      </w:r>
      <w:r w:rsidR="003A4848" w:rsidRPr="002A7096">
        <w:rPr>
          <w:rFonts w:ascii="Times New Roman" w:hAnsi="Times New Roman"/>
          <w:lang w:val="sr-Latn-CS"/>
        </w:rPr>
        <w:t>и то на следећи начин:</w:t>
      </w:r>
    </w:p>
    <w:p w:rsidR="002A7096" w:rsidRDefault="002A709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tbl>
      <w:tblPr>
        <w:tblW w:w="10316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710"/>
        <w:gridCol w:w="790"/>
        <w:gridCol w:w="760"/>
        <w:gridCol w:w="691"/>
        <w:gridCol w:w="640"/>
        <w:gridCol w:w="819"/>
        <w:gridCol w:w="2876"/>
        <w:gridCol w:w="1043"/>
        <w:gridCol w:w="1112"/>
        <w:gridCol w:w="1040"/>
      </w:tblGrid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Буџет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Ребаланс буџета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Раздео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Глава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Функц</w:t>
            </w:r>
            <w:proofErr w:type="spellEnd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Екон</w:t>
            </w:r>
            <w:proofErr w:type="spellEnd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Извор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 п и 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Промена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клас.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позиц</w:t>
            </w:r>
            <w:proofErr w:type="spellEnd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клас</w:t>
            </w: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финанс</w:t>
            </w:r>
            <w:proofErr w:type="spellEnd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СКУПШТИНА ОПШТИНЕ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Скупштина општине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Извршни и законодавни органи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13/1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-3.000.000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Повремена радна тела скупштине - Канцеларија за младе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Опште јавне услуге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некласификоване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1.350.000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2.126.000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776.000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ПРЕДСЕДНИК ОПШТИНЕ И ОПШТИНСКО ВЕЋЕ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Председник општине и општинско веће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Извршни и законодавни органи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10.500.000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10.820.000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320.000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 - Репрезентација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5.000.000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2.000.000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Информисање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емитовања и штампања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3.900.000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6.400.000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2.500.000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ОПШТИНСКО ПРАВОБРАНИЛАШТВО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Општинско правобранилаштво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Судови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9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3.600.000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ОПШТИНСКА УПРАВА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4.01.01.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Општинска управа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Плате и додаци запослених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88.232.000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88.031.000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-201.000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17.928.000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17.892.000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-36.000</w:t>
            </w:r>
          </w:p>
        </w:tc>
      </w:tr>
      <w:tr w:rsidR="00B41A06" w:rsidRPr="00B41A06" w:rsidTr="00B41A06">
        <w:trPr>
          <w:trHeight w:val="12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 (од чега 200.000 за промоцију и унапређење родно одговорног буџетирања)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11.000.000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10.375.000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-625.000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465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9.879.000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9.852.000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-27.000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6.332.000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2.132.000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Машине и опрема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8.400.000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13.400.000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5.000.000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Поверени послови локалне самоуправе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4.01.02.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Општинска јавна агенција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310.000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200.000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10.817.000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11.417.000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Специјализоване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850.000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142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4.01.03.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Управљање добрима од општег интереса и добрима у општој употреби у јавној својини (део за јавну расвету)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Улична расвета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Текуће поправке и одржавање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7.400.000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1.400.000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7.000.000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1.000.000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172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4.01.04.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Управљање добрима од општег интереса и добрима у општој употреби у јавној својини (део за путеве и површине јавне намене)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Развој заједнице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12.600.000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Извршење одлука органа општине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4.01.07.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Финансијска помоћ у породици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Породица и деца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Накнада за социјалну заштиту из буџета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17.050.000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15.735.000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-1.315.000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87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4.01.10.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Награде за најбоље ученике и студенте-једнократна помоћ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Образовање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47271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Накнаде из буџета за образовање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2.200.000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1.200.000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4.01.12.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Реализација ЛАП за запошљавање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 по питању рада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Остали издаци за стручно образовање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16.500.000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17.500.000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1.000.000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4.01.17.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Удружења и савези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Опште јавне услуге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некалсификоване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Програмска активност 0001- Функционисање локалне самоуправе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4819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24.200.000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24.500.000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4.01.19.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Верске заједнице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Верске и остале услуге заједнице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4819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4.900.000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6.100.000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1.200.000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4.01.30.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Трансфери основним школама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Основно образовање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49.750.000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52.414.000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2.664.000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Социјална политика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4.01.33.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Програм Црвеног крста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Дотације невладиним организацијама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4.700.000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1.500.000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4.01.34.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Пројекти у области социјалне заштите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Накнаде за социјалну заштиту из буџета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24.000.000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25.700.000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1.700.000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Комунални јавни расходи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4.01.40.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Увећање основног капитала у јавним предузећима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9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Набавка домаће </w:t>
            </w:r>
            <w:proofErr w:type="spellStart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нефинансијске</w:t>
            </w:r>
            <w:proofErr w:type="spellEnd"/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имовине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6.500.000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10.300.000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3.800.000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Пројекти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Основно образовање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12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4.01.45.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Пројекат: Унапређење капацитета ОШ Младост за одржавање наставних и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ваннаставних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активности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2.600.000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2.600.000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Вишенаменски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115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4.01.46.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Пројекат: Уређење дела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Чајкиног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брда у Врњачкој Бањи, прва фаза и уређење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лавирнинта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28.000.000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22.753.000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-5.247.000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Вишенаменски</w:t>
            </w:r>
            <w:proofErr w:type="spellEnd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4.01.50.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Пројекат: Инвестиционо одржавање фудбалског терена "Ц"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147/3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8.623.000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8.623.000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4.02.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Установа Културни центар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7.875.000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8.175.000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Специјализоване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2.100.000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5.250.000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3.150.000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Пројекат: Санација Замка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6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178/1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5.020.000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5.020.000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Пројекат: Реконструкција скулпторског фонда у Централном парку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45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178/1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1.130.000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1.130.000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4.03.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Установа Библиотека "Др. Душан Радић"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680.000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280.000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2.540.000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2.740.000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Услуге културе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Пројекат: Санација зграде библиотеке Др Душан Радић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178/1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5.850.000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5.850.000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4.05.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Установа Туристичка организација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Туризам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Машине и опрема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Развој туризма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Програмска активност 0002 - Промоција туристичке понуде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5.760.000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7.160.000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1.400.000</w:t>
            </w:r>
          </w:p>
        </w:tc>
      </w:tr>
      <w:tr w:rsidR="00B41A06" w:rsidRPr="00B41A06" w:rsidTr="00B41A06">
        <w:trPr>
          <w:trHeight w:val="36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Специјализоване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43.300.000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48.690.000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5.390.000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4.06.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Установа Спортски центар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Услуге рекреације и спорта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8.551.000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8.752.000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201.000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1.531.000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1.567.000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36.000</w:t>
            </w:r>
          </w:p>
        </w:tc>
      </w:tr>
      <w:tr w:rsidR="00B41A06" w:rsidRPr="00B41A06" w:rsidTr="00B41A06">
        <w:trPr>
          <w:trHeight w:val="39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6.635.000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6.785.000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150.000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Специјализоване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4.800.000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5.600.000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800.000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1.120.000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1.147.000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27.000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219/1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8.500.000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-8.500.000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Месна самоуправа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4.07.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Врњачка Бања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по уговору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450.000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570.000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120.000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3.120.000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3.720.000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3.800.000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227/1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Машине и опрема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745.000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545.000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4.08.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Ново село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267.000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867.000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4.09.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Грачац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1.900.000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3.075.000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1.175.000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4.12.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Врњци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2.300.000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3.000.000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700.000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4.13.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Руђинци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Стални трошкови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145.000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2.300.000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4.14.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Подунавци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4.700.000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4.980.000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280.000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4.17.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Станишинци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1.000.000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1.600.000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4.18.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Месна заједница </w:t>
            </w:r>
            <w:proofErr w:type="spellStart"/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Отроци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Опште услуге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Стални трошкови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1.500.000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2.700.000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1.200.000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800.000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600.000</w:t>
            </w:r>
          </w:p>
        </w:tc>
      </w:tr>
      <w:tr w:rsidR="00B41A06" w:rsidRPr="00B41A06" w:rsidTr="00B41A06">
        <w:trPr>
          <w:trHeight w:val="300"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УКУПНО: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B41A06" w:rsidRDefault="00B41A06" w:rsidP="00B41A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B41A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56.278.000</w:t>
            </w:r>
          </w:p>
        </w:tc>
      </w:tr>
    </w:tbl>
    <w:p w:rsidR="00B41A06" w:rsidRDefault="00B41A0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B41A06" w:rsidRPr="002A7096" w:rsidRDefault="00B41A0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2A7096" w:rsidRPr="002A7096" w:rsidRDefault="002A709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2A7096" w:rsidRPr="003D357D" w:rsidRDefault="002A709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D357D">
        <w:rPr>
          <w:rFonts w:ascii="Times New Roman" w:hAnsi="Times New Roman"/>
          <w:lang w:val="sr-Cyrl-CS"/>
        </w:rPr>
        <w:t xml:space="preserve">Из пренетих средстава која су се нашла на рачуну </w:t>
      </w:r>
      <w:r w:rsidR="003D357D" w:rsidRPr="003D357D">
        <w:rPr>
          <w:rFonts w:ascii="Times New Roman" w:hAnsi="Times New Roman"/>
          <w:lang w:val="sr-Cyrl-CS"/>
        </w:rPr>
        <w:t>извршења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буџета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на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дан</w:t>
      </w:r>
      <w:r w:rsidRPr="003D357D">
        <w:rPr>
          <w:rFonts w:ascii="Times New Roman" w:hAnsi="Times New Roman"/>
          <w:lang w:val="sr-Cyrl-CS"/>
        </w:rPr>
        <w:t xml:space="preserve"> </w:t>
      </w:r>
      <w:proofErr w:type="spellStart"/>
      <w:r w:rsidRPr="003D357D">
        <w:rPr>
          <w:rFonts w:ascii="Times New Roman" w:hAnsi="Times New Roman"/>
          <w:lang w:val="sr-Cyrl-CS"/>
        </w:rPr>
        <w:t>29.12.2017.</w:t>
      </w:r>
      <w:r w:rsidR="003D357D" w:rsidRPr="003D357D">
        <w:rPr>
          <w:rFonts w:ascii="Times New Roman" w:hAnsi="Times New Roman"/>
          <w:lang w:val="sr-Cyrl-CS"/>
        </w:rPr>
        <w:t>г</w:t>
      </w:r>
      <w:proofErr w:type="spellEnd"/>
      <w:r w:rsidRPr="003D357D">
        <w:rPr>
          <w:rFonts w:ascii="Times New Roman" w:hAnsi="Times New Roman"/>
          <w:lang w:val="sr-Cyrl-CS"/>
        </w:rPr>
        <w:t xml:space="preserve">. </w:t>
      </w:r>
      <w:r w:rsidR="003D357D" w:rsidRPr="003D357D">
        <w:rPr>
          <w:rFonts w:ascii="Times New Roman" w:hAnsi="Times New Roman"/>
          <w:lang w:val="sr-Cyrl-CS"/>
        </w:rPr>
        <w:t>овим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ребалансом</w:t>
      </w:r>
      <w:r w:rsidRPr="003D357D">
        <w:rPr>
          <w:rFonts w:ascii="Times New Roman" w:hAnsi="Times New Roman"/>
          <w:lang w:val="sr-Cyrl-CS"/>
        </w:rPr>
        <w:t xml:space="preserve">, </w:t>
      </w:r>
      <w:r w:rsidR="003D357D" w:rsidRPr="003D357D">
        <w:rPr>
          <w:rFonts w:ascii="Times New Roman" w:hAnsi="Times New Roman"/>
          <w:lang w:val="sr-Cyrl-CS"/>
        </w:rPr>
        <w:t>у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складу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са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иницијалном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Одлуком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о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буџету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општине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Врњачка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Бања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за</w:t>
      </w:r>
      <w:r w:rsidRPr="003D357D">
        <w:rPr>
          <w:rFonts w:ascii="Times New Roman" w:hAnsi="Times New Roman"/>
          <w:lang w:val="sr-Cyrl-CS"/>
        </w:rPr>
        <w:t xml:space="preserve"> </w:t>
      </w:r>
      <w:proofErr w:type="spellStart"/>
      <w:r w:rsidRPr="003D357D">
        <w:rPr>
          <w:rFonts w:ascii="Times New Roman" w:hAnsi="Times New Roman"/>
          <w:lang w:val="sr-Cyrl-CS"/>
        </w:rPr>
        <w:t>2018.</w:t>
      </w:r>
      <w:r w:rsidR="003D357D" w:rsidRPr="003D357D">
        <w:rPr>
          <w:rFonts w:ascii="Times New Roman" w:hAnsi="Times New Roman"/>
          <w:lang w:val="sr-Cyrl-CS"/>
        </w:rPr>
        <w:t>г</w:t>
      </w:r>
      <w:proofErr w:type="spellEnd"/>
      <w:r w:rsidRPr="003D357D">
        <w:rPr>
          <w:rFonts w:ascii="Times New Roman" w:hAnsi="Times New Roman"/>
          <w:lang w:val="sr-Cyrl-CS"/>
        </w:rPr>
        <w:t xml:space="preserve">., </w:t>
      </w:r>
      <w:r w:rsidR="003D357D" w:rsidRPr="003D357D">
        <w:rPr>
          <w:rFonts w:ascii="Times New Roman" w:hAnsi="Times New Roman"/>
          <w:lang w:val="sr-Cyrl-CS"/>
        </w:rPr>
        <w:t>врши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се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распоред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ових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средстава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по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њиховим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 xml:space="preserve">наменама, на одговарајућим </w:t>
      </w:r>
      <w:proofErr w:type="spellStart"/>
      <w:r w:rsidR="003D357D" w:rsidRPr="003D357D">
        <w:rPr>
          <w:rFonts w:ascii="Times New Roman" w:hAnsi="Times New Roman"/>
          <w:lang w:val="sr-Cyrl-CS"/>
        </w:rPr>
        <w:t>апропријацијама</w:t>
      </w:r>
      <w:proofErr w:type="spellEnd"/>
      <w:r w:rsidR="003D357D" w:rsidRPr="003D357D">
        <w:rPr>
          <w:rFonts w:ascii="Times New Roman" w:hAnsi="Times New Roman"/>
          <w:lang w:val="sr-Cyrl-CS"/>
        </w:rPr>
        <w:t>,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и</w:t>
      </w:r>
      <w:r w:rsidRPr="003D357D">
        <w:rPr>
          <w:rFonts w:ascii="Times New Roman" w:hAnsi="Times New Roman"/>
          <w:lang w:val="sr-Cyrl-CS"/>
        </w:rPr>
        <w:t xml:space="preserve"> </w:t>
      </w:r>
      <w:r w:rsidR="003D357D" w:rsidRPr="003D357D">
        <w:rPr>
          <w:rFonts w:ascii="Times New Roman" w:hAnsi="Times New Roman"/>
          <w:lang w:val="sr-Cyrl-CS"/>
        </w:rPr>
        <w:t>то</w:t>
      </w:r>
      <w:r w:rsidRPr="003D357D">
        <w:rPr>
          <w:rFonts w:ascii="Times New Roman" w:hAnsi="Times New Roman"/>
          <w:lang w:val="sr-Cyrl-CS"/>
        </w:rPr>
        <w:t>:</w:t>
      </w:r>
    </w:p>
    <w:p w:rsidR="002A7096" w:rsidRDefault="002A709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tbl>
      <w:tblPr>
        <w:tblW w:w="6128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568"/>
        <w:gridCol w:w="1600"/>
      </w:tblGrid>
      <w:tr w:rsidR="002A7096" w:rsidRPr="003D357D" w:rsidTr="003D357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357D" w:rsidRDefault="002A7096" w:rsidP="002A7096">
            <w:pPr>
              <w:jc w:val="center"/>
              <w:rPr>
                <w:rFonts w:ascii="Times New Roman" w:hAnsi="Times New Roman"/>
                <w:lang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Ред.</w:t>
            </w:r>
            <w:r w:rsidR="003D357D" w:rsidRPr="003D357D">
              <w:rPr>
                <w:rFonts w:ascii="Times New Roman" w:hAnsi="Times New Roman"/>
                <w:lang w:val="sr-Cyrl-CS" w:eastAsia="sr-Cyrl-CS"/>
              </w:rPr>
              <w:t xml:space="preserve"> </w:t>
            </w:r>
          </w:p>
          <w:p w:rsidR="002A7096" w:rsidRPr="003D357D" w:rsidRDefault="003D357D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бр.</w:t>
            </w: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ОПИС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Износ</w:t>
            </w:r>
          </w:p>
        </w:tc>
      </w:tr>
      <w:tr w:rsidR="002A7096" w:rsidRPr="003D357D" w:rsidTr="003D357D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1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Наменска средства - Капела Вранеши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675.120,00</w:t>
            </w:r>
          </w:p>
        </w:tc>
      </w:tr>
      <w:tr w:rsidR="002A7096" w:rsidRPr="003D357D" w:rsidTr="003D357D">
        <w:trPr>
          <w:trHeight w:val="54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2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 xml:space="preserve">Наменска средства - Уклањање објеката - Средства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Министарст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371.990,00</w:t>
            </w:r>
          </w:p>
        </w:tc>
      </w:tr>
      <w:tr w:rsidR="002A7096" w:rsidRPr="003D357D" w:rsidTr="003D357D">
        <w:trPr>
          <w:trHeight w:val="54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3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 xml:space="preserve">Наменска средства - Уговор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Минист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 xml:space="preserve">. рад.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зап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 xml:space="preserve">.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поз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 xml:space="preserve"> 102/1 И  73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903.911,80</w:t>
            </w:r>
          </w:p>
        </w:tc>
      </w:tr>
      <w:tr w:rsidR="002A7096" w:rsidRPr="003D357D" w:rsidTr="003D357D">
        <w:trPr>
          <w:trHeight w:val="54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4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Наменска средства - Културни центар летња позорница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232.884,32</w:t>
            </w:r>
          </w:p>
        </w:tc>
      </w:tr>
      <w:tr w:rsidR="002A7096" w:rsidRPr="003D357D" w:rsidTr="003D357D">
        <w:trPr>
          <w:trHeight w:val="54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5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 xml:space="preserve">Наменска средства - КЗМ- Програм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струч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 xml:space="preserve">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оспос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 xml:space="preserve"> младих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15.003,00</w:t>
            </w:r>
          </w:p>
        </w:tc>
      </w:tr>
      <w:tr w:rsidR="002A7096" w:rsidRPr="003D357D" w:rsidTr="003D357D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6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Наменска средства - Србија у ритму Европе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54.000,00</w:t>
            </w:r>
          </w:p>
        </w:tc>
      </w:tr>
      <w:tr w:rsidR="002A7096" w:rsidRPr="003D357D" w:rsidTr="003D357D">
        <w:trPr>
          <w:trHeight w:val="54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7</w:t>
            </w:r>
          </w:p>
        </w:tc>
        <w:tc>
          <w:tcPr>
            <w:tcW w:w="3568" w:type="dxa"/>
            <w:shd w:val="clear" w:color="auto" w:fill="auto"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 xml:space="preserve">Наменска средства - </w:t>
            </w:r>
            <w:proofErr w:type="spellStart"/>
            <w:r w:rsidRPr="003D357D">
              <w:rPr>
                <w:rFonts w:ascii="Times New Roman" w:hAnsi="Times New Roman"/>
                <w:lang w:val="sr-Cyrl-CS" w:eastAsia="sr-Cyrl-CS"/>
              </w:rPr>
              <w:t>Минист.тргов</w:t>
            </w:r>
            <w:proofErr w:type="spellEnd"/>
            <w:r w:rsidRPr="003D357D">
              <w:rPr>
                <w:rFonts w:ascii="Times New Roman" w:hAnsi="Times New Roman"/>
                <w:lang w:val="sr-Cyrl-CS" w:eastAsia="sr-Cyrl-CS"/>
              </w:rPr>
              <w:t>. Прва фаза лавиринт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5.247.913,97</w:t>
            </w:r>
          </w:p>
        </w:tc>
      </w:tr>
      <w:tr w:rsidR="002A7096" w:rsidRPr="003D357D" w:rsidTr="003D357D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lang w:val="sr-Cyrl-CS" w:eastAsia="sr-Cyrl-CS"/>
              </w:rPr>
            </w:pPr>
            <w:r w:rsidRPr="003D357D">
              <w:rPr>
                <w:rFonts w:ascii="Times New Roman" w:hAnsi="Times New Roman"/>
                <w:lang w:val="sr-Cyrl-CS" w:eastAsia="sr-Cyrl-CS"/>
              </w:rPr>
              <w:t> </w:t>
            </w: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rPr>
                <w:rFonts w:ascii="Times New Roman" w:hAnsi="Times New Roman"/>
                <w:b/>
                <w:bCs/>
                <w:color w:val="000000"/>
                <w:lang w:val="sr-Cyrl-CS" w:eastAsia="sr-Cyrl-CS"/>
              </w:rPr>
            </w:pPr>
            <w:r w:rsidRPr="003D357D">
              <w:rPr>
                <w:rFonts w:ascii="Times New Roman" w:hAnsi="Times New Roman"/>
                <w:b/>
                <w:bCs/>
                <w:color w:val="000000"/>
                <w:lang w:val="sr-Cyrl-CS" w:eastAsia="sr-Cyrl-CS"/>
              </w:rPr>
              <w:t xml:space="preserve">Стање на дан </w:t>
            </w:r>
            <w:proofErr w:type="spellStart"/>
            <w:r w:rsidRPr="003D357D">
              <w:rPr>
                <w:rFonts w:ascii="Times New Roman" w:hAnsi="Times New Roman"/>
                <w:b/>
                <w:bCs/>
                <w:color w:val="000000"/>
                <w:lang w:val="sr-Cyrl-CS" w:eastAsia="sr-Cyrl-CS"/>
              </w:rPr>
              <w:t>29.12.2017.год</w:t>
            </w:r>
            <w:proofErr w:type="spellEnd"/>
            <w:r w:rsidRPr="003D357D">
              <w:rPr>
                <w:rFonts w:ascii="Times New Roman" w:hAnsi="Times New Roman"/>
                <w:b/>
                <w:bCs/>
                <w:color w:val="000000"/>
                <w:lang w:val="sr-Cyrl-CS" w:eastAsia="sr-Cyrl-CS"/>
              </w:rPr>
              <w:t>.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2A7096" w:rsidRPr="003D357D" w:rsidRDefault="002A7096" w:rsidP="002A7096">
            <w:pPr>
              <w:jc w:val="right"/>
              <w:rPr>
                <w:rFonts w:ascii="Times New Roman" w:hAnsi="Times New Roman"/>
                <w:b/>
                <w:bCs/>
                <w:lang w:val="sr-Cyrl-CS" w:eastAsia="sr-Cyrl-CS"/>
              </w:rPr>
            </w:pPr>
            <w:r w:rsidRPr="003D357D">
              <w:rPr>
                <w:rFonts w:ascii="Times New Roman" w:hAnsi="Times New Roman"/>
                <w:b/>
                <w:bCs/>
                <w:lang w:val="sr-Cyrl-CS" w:eastAsia="sr-Cyrl-CS"/>
              </w:rPr>
              <w:t>7.500.823,09</w:t>
            </w:r>
          </w:p>
        </w:tc>
      </w:tr>
    </w:tbl>
    <w:p w:rsidR="002A7096" w:rsidRPr="002A7096" w:rsidRDefault="002A7096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3A4848" w:rsidRDefault="003A4848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3D357D" w:rsidRPr="002A7096" w:rsidRDefault="003D357D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7114C8" w:rsidRPr="002A7096" w:rsidRDefault="002D7102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Овим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ребалансом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стварају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се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планске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proofErr w:type="spellStart"/>
      <w:r w:rsidRPr="002A7096">
        <w:rPr>
          <w:rFonts w:ascii="Times New Roman" w:hAnsi="Times New Roman"/>
          <w:lang w:val="sr-Latn-CS"/>
        </w:rPr>
        <w:t>апропријације</w:t>
      </w:r>
      <w:proofErr w:type="spellEnd"/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за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финансирање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пројеката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и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већих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инвестиционих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расхода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које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посебно</w:t>
      </w:r>
      <w:r w:rsidR="00DB5CA5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издвајамо</w:t>
      </w:r>
      <w:r w:rsidR="00DB5CA5" w:rsidRPr="002A7096">
        <w:rPr>
          <w:rFonts w:ascii="Times New Roman" w:hAnsi="Times New Roman"/>
          <w:lang w:val="sr-Latn-CS"/>
        </w:rPr>
        <w:t xml:space="preserve">, </w:t>
      </w:r>
      <w:r w:rsidRPr="002A7096">
        <w:rPr>
          <w:rFonts w:ascii="Times New Roman" w:hAnsi="Times New Roman"/>
          <w:lang w:val="sr-Latn-CS"/>
        </w:rPr>
        <w:t>и</w:t>
      </w:r>
      <w:r w:rsidR="007114C8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то</w:t>
      </w:r>
      <w:r w:rsidR="007114C8" w:rsidRPr="002A7096">
        <w:rPr>
          <w:rFonts w:ascii="Times New Roman" w:hAnsi="Times New Roman"/>
          <w:lang w:val="sr-Latn-CS"/>
        </w:rPr>
        <w:t>:</w:t>
      </w:r>
    </w:p>
    <w:p w:rsidR="00A642EB" w:rsidRPr="002A7096" w:rsidRDefault="00A642EB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7114C8" w:rsidRPr="002A7096" w:rsidRDefault="00A642EB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Пројекат: Санација Замка културе – укупна вредност пројекта </w:t>
      </w:r>
      <w:r w:rsidR="00F217FA" w:rsidRPr="00F217FA">
        <w:rPr>
          <w:rFonts w:ascii="Times New Roman" w:hAnsi="Times New Roman"/>
          <w:lang w:val="sr-Latn-CS"/>
        </w:rPr>
        <w:t>5.020.000</w:t>
      </w:r>
      <w:r w:rsidR="00F217FA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динара од чега из средстава буџета Републике Србије износ од 5.000.000 динара и из средстава буџета оп</w:t>
      </w:r>
      <w:r w:rsidR="00F217FA">
        <w:rPr>
          <w:rFonts w:ascii="Times New Roman" w:hAnsi="Times New Roman"/>
          <w:lang w:val="sr-Latn-CS"/>
        </w:rPr>
        <w:t>штине Врњачка Бања износ од 2</w:t>
      </w:r>
      <w:r w:rsidRPr="002A7096">
        <w:rPr>
          <w:rFonts w:ascii="Times New Roman" w:hAnsi="Times New Roman"/>
          <w:lang w:val="sr-Latn-CS"/>
        </w:rPr>
        <w:t>0.000 динара.</w:t>
      </w:r>
    </w:p>
    <w:p w:rsidR="00A642EB" w:rsidRPr="002A7096" w:rsidRDefault="00A642EB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A642EB" w:rsidRPr="002A7096" w:rsidRDefault="00A642EB" w:rsidP="00A642E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Пројекат: Реконструкција скулпторског фонда у Централном парку – укупна вредност пројекта </w:t>
      </w:r>
      <w:r w:rsidR="00F217FA" w:rsidRPr="00F217FA">
        <w:rPr>
          <w:rFonts w:ascii="Times New Roman" w:hAnsi="Times New Roman"/>
          <w:lang w:val="sr-Latn-CS"/>
        </w:rPr>
        <w:t>1.130.000</w:t>
      </w:r>
      <w:r w:rsidR="00F217FA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динара од чега из средстава буџета Републике Србије износ од 1.000.000 динара и из средстава буџета о</w:t>
      </w:r>
      <w:r w:rsidR="00F217FA">
        <w:rPr>
          <w:rFonts w:ascii="Times New Roman" w:hAnsi="Times New Roman"/>
          <w:lang w:val="sr-Latn-CS"/>
        </w:rPr>
        <w:t>пштине Врњачка Бања износ од 130</w:t>
      </w:r>
      <w:r w:rsidRPr="002A7096">
        <w:rPr>
          <w:rFonts w:ascii="Times New Roman" w:hAnsi="Times New Roman"/>
          <w:lang w:val="sr-Latn-CS"/>
        </w:rPr>
        <w:t>.000 динара.</w:t>
      </w:r>
    </w:p>
    <w:p w:rsidR="00A642EB" w:rsidRPr="002A7096" w:rsidRDefault="00A642EB" w:rsidP="00A642E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A642EB" w:rsidRPr="002A7096" w:rsidRDefault="00A642EB" w:rsidP="00A642EB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sr-Latn-CS"/>
        </w:rPr>
      </w:pPr>
      <w:r w:rsidRPr="002A7096">
        <w:rPr>
          <w:rFonts w:ascii="Times New Roman" w:hAnsi="Times New Roman"/>
          <w:lang w:val="sr-Latn-CS"/>
        </w:rPr>
        <w:lastRenderedPageBreak/>
        <w:t xml:space="preserve">Пројекат: Санација зграде библиотеке Др Душан Радић – укупна вредност пројекта </w:t>
      </w:r>
      <w:r w:rsidR="00F217FA" w:rsidRPr="00F217FA">
        <w:rPr>
          <w:rFonts w:ascii="Times New Roman" w:hAnsi="Times New Roman"/>
          <w:lang w:val="sr-Latn-CS"/>
        </w:rPr>
        <w:t>5.850.000</w:t>
      </w:r>
      <w:r w:rsidR="00F217FA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динара од чега из средстава буџета Републике Србије износ од 4.000.000 динара и из средстава буџета општине Врњачка Бања износ од 1.</w:t>
      </w:r>
      <w:r w:rsidR="00F217FA">
        <w:rPr>
          <w:rFonts w:ascii="Times New Roman" w:hAnsi="Times New Roman"/>
          <w:lang w:val="sr-Latn-CS"/>
        </w:rPr>
        <w:t>85</w:t>
      </w:r>
      <w:r w:rsidRPr="002A7096">
        <w:rPr>
          <w:rFonts w:ascii="Times New Roman" w:hAnsi="Times New Roman"/>
          <w:lang w:val="sr-Latn-CS"/>
        </w:rPr>
        <w:t>0.000 динара.</w:t>
      </w:r>
    </w:p>
    <w:p w:rsidR="003D357D" w:rsidRPr="002A7096" w:rsidRDefault="003D357D" w:rsidP="0087336F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sr-Latn-CS"/>
        </w:rPr>
      </w:pPr>
    </w:p>
    <w:p w:rsidR="00D04727" w:rsidRPr="002A7096" w:rsidRDefault="00D04727" w:rsidP="0087336F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sr-Latn-CS"/>
        </w:rPr>
      </w:pPr>
    </w:p>
    <w:p w:rsidR="00D90603" w:rsidRPr="002A7096" w:rsidRDefault="00D90603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III ФИНАНСИЈСКИ РЕЗУЛТАТ</w:t>
      </w:r>
    </w:p>
    <w:p w:rsidR="00D90603" w:rsidRPr="002A7096" w:rsidRDefault="00D90603" w:rsidP="008C1DD1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61527B" w:rsidRPr="002A7096" w:rsidRDefault="00FF3A15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Финансијски резултат који произилази из оваквог предлога ребаланса одлуке о буџ</w:t>
      </w:r>
      <w:r w:rsidR="0033663B" w:rsidRPr="002A7096">
        <w:rPr>
          <w:rFonts w:ascii="Times New Roman" w:hAnsi="Times New Roman"/>
          <w:lang w:val="sr-Latn-CS"/>
        </w:rPr>
        <w:t>ету општине Врњачка Бања за 201</w:t>
      </w:r>
      <w:r w:rsidR="00F27C17" w:rsidRPr="002A7096">
        <w:rPr>
          <w:rFonts w:ascii="Times New Roman" w:hAnsi="Times New Roman"/>
          <w:lang w:val="sr-Latn-CS"/>
        </w:rPr>
        <w:t>8</w:t>
      </w:r>
      <w:r w:rsidRPr="002A7096">
        <w:rPr>
          <w:rFonts w:ascii="Times New Roman" w:hAnsi="Times New Roman"/>
          <w:lang w:val="sr-Latn-CS"/>
        </w:rPr>
        <w:t>.</w:t>
      </w:r>
      <w:r w:rsidR="00B06871" w:rsidRPr="002A7096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годину,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је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промењен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у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4751D8" w:rsidRPr="002A7096">
        <w:rPr>
          <w:rFonts w:ascii="Times New Roman" w:hAnsi="Times New Roman"/>
          <w:lang w:val="sr-Latn-CS"/>
        </w:rPr>
        <w:t>односу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на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иницијално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усвојену</w:t>
      </w:r>
      <w:r w:rsidR="00F84553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Одлуку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о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буџету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Општине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Врњачка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Бања</w:t>
      </w:r>
      <w:r w:rsidR="005B5071" w:rsidRPr="002A7096">
        <w:rPr>
          <w:rFonts w:ascii="Times New Roman" w:hAnsi="Times New Roman"/>
          <w:lang w:val="sr-Latn-CS"/>
        </w:rPr>
        <w:t xml:space="preserve"> </w:t>
      </w:r>
      <w:r w:rsidR="000A0803" w:rsidRPr="002A7096">
        <w:rPr>
          <w:rFonts w:ascii="Times New Roman" w:hAnsi="Times New Roman"/>
          <w:lang w:val="sr-Latn-CS"/>
        </w:rPr>
        <w:t>за</w:t>
      </w:r>
      <w:r w:rsidR="00F27C17" w:rsidRPr="002A7096">
        <w:rPr>
          <w:rFonts w:ascii="Times New Roman" w:hAnsi="Times New Roman"/>
          <w:lang w:val="sr-Latn-CS"/>
        </w:rPr>
        <w:t xml:space="preserve"> </w:t>
      </w:r>
      <w:proofErr w:type="spellStart"/>
      <w:r w:rsidR="00F27C17" w:rsidRPr="002A7096">
        <w:rPr>
          <w:rFonts w:ascii="Times New Roman" w:hAnsi="Times New Roman"/>
          <w:lang w:val="sr-Latn-CS"/>
        </w:rPr>
        <w:t>2018</w:t>
      </w:r>
      <w:r w:rsidR="005B5071" w:rsidRPr="002A7096">
        <w:rPr>
          <w:rFonts w:ascii="Times New Roman" w:hAnsi="Times New Roman"/>
          <w:lang w:val="sr-Latn-CS"/>
        </w:rPr>
        <w:t>.</w:t>
      </w:r>
      <w:r w:rsidR="000A0803" w:rsidRPr="002A7096">
        <w:rPr>
          <w:rFonts w:ascii="Times New Roman" w:hAnsi="Times New Roman"/>
          <w:lang w:val="sr-Latn-CS"/>
        </w:rPr>
        <w:t>г</w:t>
      </w:r>
      <w:proofErr w:type="spellEnd"/>
      <w:r w:rsidR="005B5071" w:rsidRPr="002A7096">
        <w:rPr>
          <w:rFonts w:ascii="Times New Roman" w:hAnsi="Times New Roman"/>
          <w:lang w:val="sr-Latn-CS"/>
        </w:rPr>
        <w:t xml:space="preserve">. </w:t>
      </w:r>
      <w:r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Иницијална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висина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планираног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буџетског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дефицита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од</w:t>
      </w:r>
      <w:r w:rsidR="00A642EB" w:rsidRPr="002A7096">
        <w:rPr>
          <w:rFonts w:ascii="Times New Roman" w:hAnsi="Times New Roman"/>
          <w:lang w:val="sr-Latn-CS"/>
        </w:rPr>
        <w:t xml:space="preserve"> </w:t>
      </w:r>
      <w:r w:rsidR="00B06871" w:rsidRPr="002A7096">
        <w:rPr>
          <w:rFonts w:ascii="Times New Roman" w:hAnsi="Times New Roman"/>
          <w:lang w:val="sr-Latn-CS"/>
        </w:rPr>
        <w:t>37.764.000 динара умањена је на износ буџетског дефицита од 33.964.000 динара. Узрок ове промене јесте увећање основног капитала јавних предузећа које се ребалансом планира у износу од 3.800.000 динара.</w:t>
      </w:r>
    </w:p>
    <w:p w:rsidR="0061527B" w:rsidRPr="002A7096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CF219C" w:rsidRPr="002A7096" w:rsidRDefault="00CF219C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61527B" w:rsidRPr="002A7096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V СТУПАЊЕ НА СНАГУ</w:t>
      </w:r>
    </w:p>
    <w:p w:rsidR="0061527B" w:rsidRPr="002A7096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DC6FE1" w:rsidRPr="002A7096" w:rsidRDefault="0061527B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>Ребаланс Одлуке о буџ</w:t>
      </w:r>
      <w:r w:rsidR="007E7FA7" w:rsidRPr="002A7096">
        <w:rPr>
          <w:rFonts w:ascii="Times New Roman" w:hAnsi="Times New Roman"/>
          <w:lang w:val="sr-Latn-CS"/>
        </w:rPr>
        <w:t xml:space="preserve">ету општине Врњачка Бања за </w:t>
      </w:r>
      <w:proofErr w:type="spellStart"/>
      <w:r w:rsidR="007E7FA7" w:rsidRPr="002A7096">
        <w:rPr>
          <w:rFonts w:ascii="Times New Roman" w:hAnsi="Times New Roman"/>
          <w:lang w:val="sr-Latn-CS"/>
        </w:rPr>
        <w:t>201</w:t>
      </w:r>
      <w:r w:rsidR="00F27C17" w:rsidRPr="002A7096">
        <w:rPr>
          <w:rFonts w:ascii="Times New Roman" w:hAnsi="Times New Roman"/>
          <w:lang w:val="sr-Latn-CS"/>
        </w:rPr>
        <w:t>8</w:t>
      </w:r>
      <w:r w:rsidRPr="002A7096">
        <w:rPr>
          <w:rFonts w:ascii="Times New Roman" w:hAnsi="Times New Roman"/>
          <w:lang w:val="sr-Latn-CS"/>
        </w:rPr>
        <w:t>.годину</w:t>
      </w:r>
      <w:proofErr w:type="spellEnd"/>
      <w:r w:rsidRPr="002A7096">
        <w:rPr>
          <w:rFonts w:ascii="Times New Roman" w:hAnsi="Times New Roman"/>
          <w:lang w:val="sr-Latn-CS"/>
        </w:rPr>
        <w:t xml:space="preserve"> ступа на снагу наредног дана од дана објављивања у „Службеном листу општине Врњачка Бања“ а примењиваће се од </w:t>
      </w:r>
      <w:proofErr w:type="spellStart"/>
      <w:r w:rsidRPr="002A7096">
        <w:rPr>
          <w:rFonts w:ascii="Times New Roman" w:hAnsi="Times New Roman"/>
          <w:lang w:val="sr-Latn-CS"/>
        </w:rPr>
        <w:t>01.01.201</w:t>
      </w:r>
      <w:r w:rsidR="00F27C17" w:rsidRPr="002A7096">
        <w:rPr>
          <w:rFonts w:ascii="Times New Roman" w:hAnsi="Times New Roman"/>
          <w:lang w:val="sr-Latn-CS"/>
        </w:rPr>
        <w:t>8</w:t>
      </w:r>
      <w:r w:rsidRPr="002A7096">
        <w:rPr>
          <w:rFonts w:ascii="Times New Roman" w:hAnsi="Times New Roman"/>
          <w:lang w:val="sr-Latn-CS"/>
        </w:rPr>
        <w:t>.године</w:t>
      </w:r>
      <w:proofErr w:type="spellEnd"/>
      <w:r w:rsidRPr="002A7096">
        <w:rPr>
          <w:rFonts w:ascii="Times New Roman" w:hAnsi="Times New Roman"/>
          <w:lang w:val="sr-Latn-CS"/>
        </w:rPr>
        <w:t>.</w:t>
      </w:r>
    </w:p>
    <w:p w:rsidR="000054CE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B41A06" w:rsidRPr="002A7096" w:rsidRDefault="00B41A06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5B5071" w:rsidRPr="002A7096" w:rsidRDefault="005B5071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ab/>
      </w:r>
      <w:r w:rsidRPr="002A7096">
        <w:rPr>
          <w:rFonts w:ascii="Times New Roman" w:hAnsi="Times New Roman"/>
          <w:lang w:val="sr-Latn-CS"/>
        </w:rPr>
        <w:tab/>
      </w:r>
      <w:r w:rsidR="00F84553" w:rsidRPr="002A7096">
        <w:rPr>
          <w:rFonts w:ascii="Times New Roman" w:hAnsi="Times New Roman"/>
          <w:lang w:val="sr-Latn-CS"/>
        </w:rPr>
        <w:t xml:space="preserve"> </w:t>
      </w:r>
      <w:r w:rsidR="003D357D">
        <w:rPr>
          <w:rFonts w:ascii="Times New Roman" w:hAnsi="Times New Roman"/>
          <w:lang w:val="sr-Latn-CS"/>
        </w:rPr>
        <w:t xml:space="preserve"> </w:t>
      </w:r>
      <w:r w:rsidRPr="002A7096">
        <w:rPr>
          <w:rFonts w:ascii="Times New Roman" w:hAnsi="Times New Roman"/>
          <w:lang w:val="sr-Latn-CS"/>
        </w:rPr>
        <w:t>Референт буџета</w:t>
      </w:r>
    </w:p>
    <w:p w:rsidR="005B5071" w:rsidRPr="002A7096" w:rsidRDefault="005B5071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ab/>
        <w:t xml:space="preserve">          Владимир </w:t>
      </w:r>
      <w:proofErr w:type="spellStart"/>
      <w:r w:rsidRPr="002A7096">
        <w:rPr>
          <w:rFonts w:ascii="Times New Roman" w:hAnsi="Times New Roman"/>
          <w:lang w:val="sr-Latn-CS"/>
        </w:rPr>
        <w:t>Стаменчић</w:t>
      </w:r>
      <w:proofErr w:type="spellEnd"/>
    </w:p>
    <w:p w:rsidR="000054CE" w:rsidRPr="002A7096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F84553" w:rsidRPr="002A7096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ab/>
      </w:r>
      <w:r w:rsidRPr="002A7096">
        <w:rPr>
          <w:rFonts w:ascii="Times New Roman" w:hAnsi="Times New Roman"/>
          <w:lang w:val="sr-Latn-CS"/>
        </w:rPr>
        <w:tab/>
      </w:r>
    </w:p>
    <w:p w:rsidR="007E7FA7" w:rsidRPr="002A7096" w:rsidRDefault="00F84553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 xml:space="preserve">         РУКОВОДИЛАЦ ОДСЕКА</w:t>
      </w:r>
      <w:r w:rsidR="00366CA8" w:rsidRPr="002A7096">
        <w:rPr>
          <w:rFonts w:ascii="Times New Roman" w:hAnsi="Times New Roman"/>
          <w:lang w:val="sr-Latn-CS"/>
        </w:rPr>
        <w:t xml:space="preserve"> </w:t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  <w:t>НАЧЕЛНИК</w:t>
      </w:r>
    </w:p>
    <w:p w:rsidR="007E7FA7" w:rsidRPr="002A7096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ab/>
      </w:r>
      <w:r w:rsidRPr="002A7096">
        <w:rPr>
          <w:rFonts w:ascii="Times New Roman" w:hAnsi="Times New Roman"/>
          <w:lang w:val="sr-Latn-CS"/>
        </w:rPr>
        <w:tab/>
      </w:r>
      <w:r w:rsidR="00F84553" w:rsidRPr="002A7096">
        <w:rPr>
          <w:rFonts w:ascii="Times New Roman" w:hAnsi="Times New Roman"/>
          <w:lang w:val="sr-Latn-CS"/>
        </w:rPr>
        <w:t xml:space="preserve">    </w:t>
      </w:r>
      <w:r w:rsidRPr="002A7096">
        <w:rPr>
          <w:rFonts w:ascii="Times New Roman" w:hAnsi="Times New Roman"/>
          <w:lang w:val="sr-Latn-CS"/>
        </w:rPr>
        <w:t xml:space="preserve">Зоран </w:t>
      </w:r>
      <w:proofErr w:type="spellStart"/>
      <w:r w:rsidRPr="002A7096">
        <w:rPr>
          <w:rFonts w:ascii="Times New Roman" w:hAnsi="Times New Roman"/>
          <w:lang w:val="sr-Latn-CS"/>
        </w:rPr>
        <w:t>Дунић</w:t>
      </w:r>
      <w:proofErr w:type="spellEnd"/>
      <w:r w:rsidR="00366CA8" w:rsidRPr="002A7096">
        <w:rPr>
          <w:rFonts w:ascii="Times New Roman" w:hAnsi="Times New Roman"/>
          <w:lang w:val="sr-Latn-CS"/>
        </w:rPr>
        <w:t xml:space="preserve"> </w:t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  <w:t xml:space="preserve">  ОПШТИНСКЕ УПРАВЕ</w:t>
      </w:r>
    </w:p>
    <w:p w:rsidR="000054CE" w:rsidRPr="002A7096" w:rsidRDefault="00F84553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Latn-CS"/>
        </w:rPr>
      </w:pPr>
      <w:r w:rsidRPr="002A7096">
        <w:rPr>
          <w:rFonts w:ascii="Times New Roman" w:hAnsi="Times New Roman"/>
          <w:lang w:val="sr-Latn-CS"/>
        </w:rPr>
        <w:tab/>
      </w:r>
      <w:r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7E7FA7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r w:rsidR="00366CA8" w:rsidRPr="002A7096">
        <w:rPr>
          <w:rFonts w:ascii="Times New Roman" w:hAnsi="Times New Roman"/>
          <w:lang w:val="sr-Latn-CS"/>
        </w:rPr>
        <w:tab/>
      </w:r>
      <w:proofErr w:type="spellStart"/>
      <w:r w:rsidR="00366CA8" w:rsidRPr="002A7096">
        <w:rPr>
          <w:rFonts w:ascii="Times New Roman" w:hAnsi="Times New Roman"/>
          <w:lang w:val="sr-Latn-CS"/>
        </w:rPr>
        <w:t>Славиша</w:t>
      </w:r>
      <w:proofErr w:type="spellEnd"/>
      <w:r w:rsidR="00366CA8" w:rsidRPr="002A7096">
        <w:rPr>
          <w:rFonts w:ascii="Times New Roman" w:hAnsi="Times New Roman"/>
          <w:lang w:val="sr-Latn-CS"/>
        </w:rPr>
        <w:t xml:space="preserve"> Пауновић</w:t>
      </w:r>
      <w:r w:rsidRPr="002A7096">
        <w:rPr>
          <w:rFonts w:ascii="Times New Roman" w:hAnsi="Times New Roman"/>
          <w:lang w:val="sr-Latn-CS"/>
        </w:rPr>
        <w:tab/>
        <w:t xml:space="preserve"> </w:t>
      </w:r>
    </w:p>
    <w:sectPr w:rsidR="000054CE" w:rsidRPr="002A7096" w:rsidSect="000B59B9">
      <w:pgSz w:w="12240" w:h="15840"/>
      <w:pgMar w:top="1080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1B"/>
    <w:multiLevelType w:val="hybridMultilevel"/>
    <w:tmpl w:val="41A60F30"/>
    <w:lvl w:ilvl="0" w:tplc="B0EC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70745"/>
    <w:multiLevelType w:val="hybridMultilevel"/>
    <w:tmpl w:val="C994CBC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B62365"/>
    <w:rsid w:val="000054CE"/>
    <w:rsid w:val="00024630"/>
    <w:rsid w:val="000251EA"/>
    <w:rsid w:val="00042510"/>
    <w:rsid w:val="00056C31"/>
    <w:rsid w:val="000735B8"/>
    <w:rsid w:val="000A0803"/>
    <w:rsid w:val="000B5161"/>
    <w:rsid w:val="000B59B9"/>
    <w:rsid w:val="001119A7"/>
    <w:rsid w:val="0011695F"/>
    <w:rsid w:val="001210F4"/>
    <w:rsid w:val="00157E8A"/>
    <w:rsid w:val="00190570"/>
    <w:rsid w:val="001B20B0"/>
    <w:rsid w:val="001B576E"/>
    <w:rsid w:val="001C63BB"/>
    <w:rsid w:val="001D199B"/>
    <w:rsid w:val="001E2A3D"/>
    <w:rsid w:val="001E5130"/>
    <w:rsid w:val="001F4C9E"/>
    <w:rsid w:val="00212DDC"/>
    <w:rsid w:val="00213087"/>
    <w:rsid w:val="00232B86"/>
    <w:rsid w:val="0024692D"/>
    <w:rsid w:val="002A7096"/>
    <w:rsid w:val="002D6B96"/>
    <w:rsid w:val="002D7102"/>
    <w:rsid w:val="002F049B"/>
    <w:rsid w:val="0033663B"/>
    <w:rsid w:val="00366CA8"/>
    <w:rsid w:val="0037439D"/>
    <w:rsid w:val="00385E1C"/>
    <w:rsid w:val="00396291"/>
    <w:rsid w:val="003A4848"/>
    <w:rsid w:val="003B5F48"/>
    <w:rsid w:val="003B6D75"/>
    <w:rsid w:val="003B73CC"/>
    <w:rsid w:val="003C39DD"/>
    <w:rsid w:val="003D357D"/>
    <w:rsid w:val="004116AD"/>
    <w:rsid w:val="00436246"/>
    <w:rsid w:val="004577A5"/>
    <w:rsid w:val="00463A9B"/>
    <w:rsid w:val="00465666"/>
    <w:rsid w:val="0047303C"/>
    <w:rsid w:val="004751D8"/>
    <w:rsid w:val="0048523E"/>
    <w:rsid w:val="004A0604"/>
    <w:rsid w:val="004C1A62"/>
    <w:rsid w:val="004C73D9"/>
    <w:rsid w:val="004F22B2"/>
    <w:rsid w:val="0054075E"/>
    <w:rsid w:val="00585C5F"/>
    <w:rsid w:val="005A41FD"/>
    <w:rsid w:val="005B5071"/>
    <w:rsid w:val="005C530A"/>
    <w:rsid w:val="005C7735"/>
    <w:rsid w:val="0061527B"/>
    <w:rsid w:val="00625208"/>
    <w:rsid w:val="00630340"/>
    <w:rsid w:val="00654EC6"/>
    <w:rsid w:val="006922A7"/>
    <w:rsid w:val="006D53C3"/>
    <w:rsid w:val="007114C8"/>
    <w:rsid w:val="00724B0A"/>
    <w:rsid w:val="007650FD"/>
    <w:rsid w:val="0078031B"/>
    <w:rsid w:val="007C074A"/>
    <w:rsid w:val="007C358E"/>
    <w:rsid w:val="007D33F8"/>
    <w:rsid w:val="007E47E7"/>
    <w:rsid w:val="007E7FA7"/>
    <w:rsid w:val="008015C3"/>
    <w:rsid w:val="00812BFE"/>
    <w:rsid w:val="00822208"/>
    <w:rsid w:val="00833F15"/>
    <w:rsid w:val="00834C6B"/>
    <w:rsid w:val="00862DF0"/>
    <w:rsid w:val="00864EFC"/>
    <w:rsid w:val="00872808"/>
    <w:rsid w:val="0087336F"/>
    <w:rsid w:val="00883680"/>
    <w:rsid w:val="008A5216"/>
    <w:rsid w:val="008C0DB6"/>
    <w:rsid w:val="008C1DD1"/>
    <w:rsid w:val="008E4B66"/>
    <w:rsid w:val="008E6861"/>
    <w:rsid w:val="0092139A"/>
    <w:rsid w:val="00930672"/>
    <w:rsid w:val="009325C8"/>
    <w:rsid w:val="00941521"/>
    <w:rsid w:val="00947564"/>
    <w:rsid w:val="009611C1"/>
    <w:rsid w:val="00961AA9"/>
    <w:rsid w:val="00973461"/>
    <w:rsid w:val="00973EAD"/>
    <w:rsid w:val="00976835"/>
    <w:rsid w:val="00995656"/>
    <w:rsid w:val="009C3FB5"/>
    <w:rsid w:val="009D461F"/>
    <w:rsid w:val="00A0610E"/>
    <w:rsid w:val="00A4541C"/>
    <w:rsid w:val="00A642EB"/>
    <w:rsid w:val="00A83116"/>
    <w:rsid w:val="00A849B2"/>
    <w:rsid w:val="00A873E6"/>
    <w:rsid w:val="00A946E8"/>
    <w:rsid w:val="00AF56DB"/>
    <w:rsid w:val="00B06871"/>
    <w:rsid w:val="00B13DA7"/>
    <w:rsid w:val="00B41A06"/>
    <w:rsid w:val="00B62365"/>
    <w:rsid w:val="00B64FEE"/>
    <w:rsid w:val="00B77596"/>
    <w:rsid w:val="00B864E7"/>
    <w:rsid w:val="00BA0D46"/>
    <w:rsid w:val="00BB4133"/>
    <w:rsid w:val="00BD4419"/>
    <w:rsid w:val="00C35B22"/>
    <w:rsid w:val="00C511AD"/>
    <w:rsid w:val="00C563D8"/>
    <w:rsid w:val="00C6175D"/>
    <w:rsid w:val="00C642C1"/>
    <w:rsid w:val="00C733B7"/>
    <w:rsid w:val="00C94ED2"/>
    <w:rsid w:val="00CA0086"/>
    <w:rsid w:val="00CE0DEC"/>
    <w:rsid w:val="00CF219C"/>
    <w:rsid w:val="00D04727"/>
    <w:rsid w:val="00D0787E"/>
    <w:rsid w:val="00D132A4"/>
    <w:rsid w:val="00D244CB"/>
    <w:rsid w:val="00D25D3F"/>
    <w:rsid w:val="00D27471"/>
    <w:rsid w:val="00D50C6D"/>
    <w:rsid w:val="00D5730C"/>
    <w:rsid w:val="00D66F99"/>
    <w:rsid w:val="00D71688"/>
    <w:rsid w:val="00D90603"/>
    <w:rsid w:val="00DA27C3"/>
    <w:rsid w:val="00DB5CA5"/>
    <w:rsid w:val="00DC6FE1"/>
    <w:rsid w:val="00E1331A"/>
    <w:rsid w:val="00E315C3"/>
    <w:rsid w:val="00E56D1A"/>
    <w:rsid w:val="00E74805"/>
    <w:rsid w:val="00E811DF"/>
    <w:rsid w:val="00EF0D9C"/>
    <w:rsid w:val="00EF2604"/>
    <w:rsid w:val="00EF2D4A"/>
    <w:rsid w:val="00F217FA"/>
    <w:rsid w:val="00F27C17"/>
    <w:rsid w:val="00F51839"/>
    <w:rsid w:val="00F53A73"/>
    <w:rsid w:val="00F6118F"/>
    <w:rsid w:val="00F6402A"/>
    <w:rsid w:val="00F84553"/>
    <w:rsid w:val="00F85026"/>
    <w:rsid w:val="00F92AA1"/>
    <w:rsid w:val="00FB4418"/>
    <w:rsid w:val="00FB5577"/>
    <w:rsid w:val="00FB6434"/>
    <w:rsid w:val="00FD1C14"/>
    <w:rsid w:val="00FD45DB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EF26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1A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A06"/>
    <w:rPr>
      <w:color w:val="800080"/>
      <w:u w:val="single"/>
    </w:rPr>
  </w:style>
  <w:style w:type="paragraph" w:customStyle="1" w:styleId="xl63">
    <w:name w:val="xl6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4">
    <w:name w:val="xl6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65">
    <w:name w:val="xl65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6">
    <w:name w:val="xl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67">
    <w:name w:val="xl6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8">
    <w:name w:val="xl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69">
    <w:name w:val="xl69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0">
    <w:name w:val="xl7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val="sr-Latn-CS" w:eastAsia="sr-Latn-CS"/>
    </w:rPr>
  </w:style>
  <w:style w:type="paragraph" w:customStyle="1" w:styleId="xl71">
    <w:name w:val="xl7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2">
    <w:name w:val="xl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3">
    <w:name w:val="xl7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4">
    <w:name w:val="xl74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5">
    <w:name w:val="xl7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6">
    <w:name w:val="xl7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77">
    <w:name w:val="xl77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78">
    <w:name w:val="xl78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79">
    <w:name w:val="xl79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0">
    <w:name w:val="xl8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1">
    <w:name w:val="xl8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2">
    <w:name w:val="xl8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3">
    <w:name w:val="xl83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4">
    <w:name w:val="xl8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85">
    <w:name w:val="xl8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6">
    <w:name w:val="xl86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7">
    <w:name w:val="xl87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8">
    <w:name w:val="xl88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89">
    <w:name w:val="xl8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0">
    <w:name w:val="xl90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1">
    <w:name w:val="xl9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2">
    <w:name w:val="xl9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93">
    <w:name w:val="xl9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4">
    <w:name w:val="xl9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5">
    <w:name w:val="xl9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96">
    <w:name w:val="xl96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7">
    <w:name w:val="xl97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8">
    <w:name w:val="xl98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99">
    <w:name w:val="xl99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0">
    <w:name w:val="xl100"/>
    <w:basedOn w:val="Normal"/>
    <w:rsid w:val="00B41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1">
    <w:name w:val="xl10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2">
    <w:name w:val="xl10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3">
    <w:name w:val="xl103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4">
    <w:name w:val="xl104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05">
    <w:name w:val="xl10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6">
    <w:name w:val="xl10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7">
    <w:name w:val="xl10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08">
    <w:name w:val="xl108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09">
    <w:name w:val="xl10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0">
    <w:name w:val="xl11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1">
    <w:name w:val="xl111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2">
    <w:name w:val="xl112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13">
    <w:name w:val="xl11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4">
    <w:name w:val="xl11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5">
    <w:name w:val="xl11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6">
    <w:name w:val="xl11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7">
    <w:name w:val="xl117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18">
    <w:name w:val="xl11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19">
    <w:name w:val="xl11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0">
    <w:name w:val="xl12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1">
    <w:name w:val="xl121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2">
    <w:name w:val="xl122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3">
    <w:name w:val="xl12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4">
    <w:name w:val="xl124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5">
    <w:name w:val="xl125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6">
    <w:name w:val="xl12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27">
    <w:name w:val="xl12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28">
    <w:name w:val="xl12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29">
    <w:name w:val="xl12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0">
    <w:name w:val="xl13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1">
    <w:name w:val="xl131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2">
    <w:name w:val="xl13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3">
    <w:name w:val="xl133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4">
    <w:name w:val="xl134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5">
    <w:name w:val="xl135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6">
    <w:name w:val="xl136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37">
    <w:name w:val="xl137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8">
    <w:name w:val="xl13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39">
    <w:name w:val="xl139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0">
    <w:name w:val="xl140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1">
    <w:name w:val="xl141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2">
    <w:name w:val="xl142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3">
    <w:name w:val="xl14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4">
    <w:name w:val="xl144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45">
    <w:name w:val="xl145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6">
    <w:name w:val="xl146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47">
    <w:name w:val="xl147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8">
    <w:name w:val="xl148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49">
    <w:name w:val="xl149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0">
    <w:name w:val="xl150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1">
    <w:name w:val="xl151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2">
    <w:name w:val="xl152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3">
    <w:name w:val="xl153"/>
    <w:basedOn w:val="Normal"/>
    <w:rsid w:val="00B41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4">
    <w:name w:val="xl154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5">
    <w:name w:val="xl15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6">
    <w:name w:val="xl15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57">
    <w:name w:val="xl157"/>
    <w:basedOn w:val="Normal"/>
    <w:rsid w:val="00B41A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58">
    <w:name w:val="xl15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59">
    <w:name w:val="xl159"/>
    <w:basedOn w:val="Normal"/>
    <w:rsid w:val="00B41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0">
    <w:name w:val="xl160"/>
    <w:basedOn w:val="Normal"/>
    <w:rsid w:val="00B41A0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1">
    <w:name w:val="xl161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2">
    <w:name w:val="xl162"/>
    <w:basedOn w:val="Normal"/>
    <w:rsid w:val="00B41A0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3">
    <w:name w:val="xl163"/>
    <w:basedOn w:val="Normal"/>
    <w:rsid w:val="00B41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4">
    <w:name w:val="xl164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5">
    <w:name w:val="xl165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6">
    <w:name w:val="xl166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7">
    <w:name w:val="xl167"/>
    <w:basedOn w:val="Normal"/>
    <w:rsid w:val="00B4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8">
    <w:name w:val="xl168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69">
    <w:name w:val="xl169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xl170">
    <w:name w:val="xl170"/>
    <w:basedOn w:val="Normal"/>
    <w:rsid w:val="00B41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B41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sr-Latn-CS" w:eastAsia="sr-Latn-CS"/>
    </w:rPr>
  </w:style>
  <w:style w:type="paragraph" w:customStyle="1" w:styleId="xl172">
    <w:name w:val="xl172"/>
    <w:basedOn w:val="Normal"/>
    <w:rsid w:val="00B41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FF74-2068-4565-B46D-AB8A0C6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Zoran Dunic</cp:lastModifiedBy>
  <cp:revision>5</cp:revision>
  <cp:lastPrinted>2017-02-20T12:53:00Z</cp:lastPrinted>
  <dcterms:created xsi:type="dcterms:W3CDTF">2018-06-22T10:11:00Z</dcterms:created>
  <dcterms:modified xsi:type="dcterms:W3CDTF">2018-06-22T12:38:00Z</dcterms:modified>
</cp:coreProperties>
</file>