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83766" w14:textId="73FF29CC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7C423891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  <w:bookmarkStart w:id="0" w:name="_GoBack"/>
      <w:bookmarkEnd w:id="0"/>
    </w:p>
    <w:p w14:paraId="1380FDD4" w14:textId="7B5B9206"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14:paraId="60B700FF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3CED9C7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14:paraId="552EBBF3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691D3B16" w:rsidR="00556FCB" w:rsidRPr="0062156B" w:rsidRDefault="00775046" w:rsidP="00B25EEE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  <w:r w:rsidR="0010131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власника објекта (стана </w:t>
            </w:r>
            <w:r w:rsidR="00B25EE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/</w:t>
            </w:r>
            <w:r w:rsidR="0010131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куће)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131E" w:rsidRPr="0066540E" w14:paraId="0550D400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078C4E" w14:textId="78C4AA06" w:rsidR="0010131E" w:rsidRPr="0062156B" w:rsidRDefault="0010131E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1.1</w:t>
            </w:r>
            <w:r w:rsidR="00394D0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9E959B" w14:textId="79D920B7" w:rsidR="0010131E" w:rsidRPr="0062156B" w:rsidRDefault="0010131E" w:rsidP="00B25EEE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10131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 корисник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а</w:t>
            </w:r>
            <w:r w:rsidRPr="0010131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објекта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(</w:t>
            </w:r>
            <w:r w:rsidRPr="0010131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стана </w:t>
            </w:r>
            <w:r w:rsidR="00B25EE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/</w:t>
            </w:r>
            <w:r w:rsidRPr="0010131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куће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C28" w14:textId="77777777" w:rsidR="0010131E" w:rsidRPr="0066540E" w:rsidRDefault="0010131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4626146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E612E12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1918737E" w:rsidR="00030EE3" w:rsidRPr="00394D0F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RS"/>
              </w:rPr>
            </w:pPr>
            <w:proofErr w:type="spellStart"/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  <w:r w:rsidR="00394D0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RS"/>
              </w:rPr>
              <w:t xml:space="preserve"> власника </w:t>
            </w:r>
            <w:r w:rsidR="00394D0F" w:rsidRPr="00394D0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RS"/>
              </w:rPr>
              <w:t>објекта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4D0F" w:rsidRPr="0066540E" w14:paraId="55706B8F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02FA49" w14:textId="54DB3673" w:rsidR="00394D0F" w:rsidRPr="00394D0F" w:rsidRDefault="00394D0F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48B8D5" w14:textId="07606C97" w:rsidR="00394D0F" w:rsidRPr="0062156B" w:rsidRDefault="00394D0F" w:rsidP="00394D0F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394D0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  <w:r w:rsidRPr="00394D0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RS"/>
              </w:rPr>
              <w:t xml:space="preserve">корисника </w:t>
            </w:r>
            <w:proofErr w:type="spellStart"/>
            <w:r w:rsidRPr="00394D0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објекта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795F3" w14:textId="77777777" w:rsidR="00394D0F" w:rsidRPr="0066540E" w:rsidRDefault="00394D0F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5A7CF689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66B235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35B23E2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56D616B6" w:rsidR="002F7814" w:rsidRPr="0062156B" w:rsidRDefault="00B6461F" w:rsidP="00545FC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1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1"/>
    </w:p>
    <w:p w14:paraId="2CBA5F50" w14:textId="77777777"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F73058C" w14:textId="685D5D0C"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A2724AC" w14:textId="40A3FC52" w:rsidR="006E0396" w:rsidRPr="0062156B" w:rsidRDefault="006E0396" w:rsidP="00545FC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1630BCBE" w14:textId="50A716A8" w:rsidR="00536FD8" w:rsidRPr="00536FD8" w:rsidRDefault="00536FD8" w:rsidP="00545FC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14:paraId="7411F53E" w14:textId="0339A272" w:rsidR="002F7814" w:rsidRPr="0062156B" w:rsidRDefault="00536FD8" w:rsidP="00545FC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053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46EE8993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054D2F" w14:paraId="1DA4C3D6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14:paraId="40345A1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14:paraId="2944AC5E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7C38244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12A76A0D" w:rsidR="00675765" w:rsidRPr="00B04B51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14:paraId="41BCE9A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3B9C413A"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14:paraId="6368EA2F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700CFAB0"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14:paraId="1D288A78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631ADBC8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14:paraId="0872AB5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613F8D09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14:paraId="1C16DFB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05768C94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14:paraId="0203F37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747F1300" w:rsidR="00186AF8" w:rsidRPr="00186AF8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218080" w14:textId="77777777"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26B8D9E4" w14:textId="2CB98274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66DE5BC"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1A3AFB11" w14:textId="63CE54DC" w:rsidR="00496203" w:rsidRPr="0062156B" w:rsidRDefault="006463E6" w:rsidP="00545FC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62156B" w:rsidRDefault="00496203" w:rsidP="00545FC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658027F4" w:rsidR="00496203" w:rsidRPr="0062156B" w:rsidRDefault="00496203" w:rsidP="00545FC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D9D43D" w14:textId="5E58A2D1"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054D2F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66E9A6F" w14:textId="5DF2482B" w:rsidR="00451C23" w:rsidRPr="004C602B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4C602B" w:rsidRPr="0066540E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3B7A12FD"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03F7F" w:rsidRPr="0066540E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5A8EC51F"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4C602B" w:rsidRPr="0066540E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4C602B" w:rsidRPr="0066540E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0B17A195"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51C23" w:rsidRPr="0066540E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37B5D8A9"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C12AC" w:rsidRPr="0066540E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5C12AC" w:rsidRPr="0066540E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4C602B" w:rsidRPr="0066540E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4C602B" w:rsidRPr="0066540E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14:paraId="20FF55C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750D799C" w14:textId="29F4CA16"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349331EA" w14:textId="77777777"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6C8EA4FB" w14:textId="3322477A"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3A4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72263790"/>
    </w:p>
    <w:p w14:paraId="3BA8EC9D" w14:textId="2B6BFE92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3.</w:t>
      </w:r>
      <w:r w:rsidR="00BE126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ЛОКАЦИЈА И 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14:paraId="21EE49AD" w14:textId="77777777" w:rsidTr="00650A2A">
        <w:tc>
          <w:tcPr>
            <w:tcW w:w="2979" w:type="pct"/>
          </w:tcPr>
          <w:p w14:paraId="5A8A160E" w14:textId="64F5D447" w:rsidR="008A0D35" w:rsidRPr="0021459A" w:rsidRDefault="0021459A" w:rsidP="004B4A5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Адреса </w:t>
            </w:r>
            <w:r w:rsidRPr="0021459A">
              <w:rPr>
                <w:rFonts w:ascii="Times New Roman" w:hAnsi="Times New Roman" w:cs="Times New Roman"/>
                <w:lang w:val="sr-Cyrl-RS"/>
              </w:rPr>
              <w:t>куће/стана</w:t>
            </w:r>
          </w:p>
        </w:tc>
        <w:tc>
          <w:tcPr>
            <w:tcW w:w="2021" w:type="pct"/>
          </w:tcPr>
          <w:p w14:paraId="7E7CFAD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A91698" w:rsidRPr="0066540E" w14:paraId="315F017A" w14:textId="77777777" w:rsidTr="00650A2A">
        <w:tc>
          <w:tcPr>
            <w:tcW w:w="2979" w:type="pct"/>
          </w:tcPr>
          <w:p w14:paraId="5192DE0B" w14:textId="251A6A3A" w:rsidR="00A91698" w:rsidRDefault="00A91698" w:rsidP="004B4A5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Кућа/стан</w:t>
            </w:r>
          </w:p>
        </w:tc>
        <w:tc>
          <w:tcPr>
            <w:tcW w:w="2021" w:type="pct"/>
          </w:tcPr>
          <w:p w14:paraId="0A5D1E45" w14:textId="77777777" w:rsidR="00A91698" w:rsidRDefault="00A91698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8EAC382" w14:textId="77777777" w:rsidTr="00650A2A">
        <w:tc>
          <w:tcPr>
            <w:tcW w:w="2979" w:type="pct"/>
          </w:tcPr>
          <w:p w14:paraId="3CE03BAD" w14:textId="48530B6B" w:rsidR="00650A2A" w:rsidRPr="0021459A" w:rsidRDefault="0021459A" w:rsidP="004B4A5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катастарске парцеле са </w:t>
            </w:r>
            <w:r w:rsidR="0072031B">
              <w:rPr>
                <w:rFonts w:ascii="Times New Roman" w:hAnsi="Times New Roman" w:cs="Times New Roman"/>
                <w:lang w:val="sr-Cyrl-RS"/>
              </w:rPr>
              <w:t>катастарском општином</w:t>
            </w:r>
          </w:p>
        </w:tc>
        <w:tc>
          <w:tcPr>
            <w:tcW w:w="2021" w:type="pct"/>
          </w:tcPr>
          <w:p w14:paraId="015E2C7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21459A" w:rsidRPr="0066540E" w14:paraId="7DDFFFCB" w14:textId="77777777" w:rsidTr="00650A2A">
        <w:tc>
          <w:tcPr>
            <w:tcW w:w="2979" w:type="pct"/>
          </w:tcPr>
          <w:p w14:paraId="3F7DB2FE" w14:textId="71022306" w:rsidR="0021459A" w:rsidRPr="0066540E" w:rsidRDefault="0021459A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9A3">
              <w:t>Површина</w:t>
            </w:r>
            <w:proofErr w:type="spellEnd"/>
            <w:r w:rsidRPr="009549A3">
              <w:t xml:space="preserve"> </w:t>
            </w:r>
            <w:proofErr w:type="spellStart"/>
            <w:r w:rsidRPr="009549A3">
              <w:t>породичне</w:t>
            </w:r>
            <w:proofErr w:type="spellEnd"/>
            <w:r w:rsidRPr="009549A3">
              <w:t xml:space="preserve"> </w:t>
            </w:r>
            <w:proofErr w:type="spellStart"/>
            <w:r w:rsidRPr="009549A3">
              <w:t>куће</w:t>
            </w:r>
            <w:proofErr w:type="spellEnd"/>
            <w:r w:rsidRPr="009549A3">
              <w:t>/</w:t>
            </w:r>
            <w:proofErr w:type="spellStart"/>
            <w:r w:rsidRPr="009549A3">
              <w:t>стана</w:t>
            </w:r>
            <w:proofErr w:type="spellEnd"/>
            <w:r w:rsidRPr="009549A3">
              <w:t xml:space="preserve"> у </w:t>
            </w:r>
            <w:proofErr w:type="spellStart"/>
            <w:r w:rsidRPr="009549A3">
              <w:t>квадратним</w:t>
            </w:r>
            <w:proofErr w:type="spellEnd"/>
            <w:r w:rsidRPr="009549A3">
              <w:t xml:space="preserve"> </w:t>
            </w:r>
            <w:proofErr w:type="spellStart"/>
            <w:r w:rsidRPr="009549A3">
              <w:t>метрима</w:t>
            </w:r>
            <w:proofErr w:type="spellEnd"/>
            <w:r w:rsidRPr="009549A3">
              <w:t xml:space="preserve"> </w:t>
            </w:r>
          </w:p>
        </w:tc>
        <w:tc>
          <w:tcPr>
            <w:tcW w:w="2021" w:type="pct"/>
          </w:tcPr>
          <w:p w14:paraId="544889EC" w14:textId="77777777" w:rsidR="0021459A" w:rsidRDefault="0021459A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2031B" w:rsidRPr="0066540E" w14:paraId="398F24AC" w14:textId="77777777" w:rsidTr="00650A2A">
        <w:tc>
          <w:tcPr>
            <w:tcW w:w="2979" w:type="pct"/>
          </w:tcPr>
          <w:p w14:paraId="506812F4" w14:textId="448FF151" w:rsidR="0072031B" w:rsidRPr="0072031B" w:rsidRDefault="0072031B" w:rsidP="0072031B">
            <w:pPr>
              <w:rPr>
                <w:lang w:val="sr-Cyrl-RS"/>
              </w:rPr>
            </w:pPr>
            <w:r>
              <w:rPr>
                <w:lang w:val="sr-Cyrl-RS"/>
              </w:rPr>
              <w:t>Број етажа</w:t>
            </w:r>
          </w:p>
        </w:tc>
        <w:tc>
          <w:tcPr>
            <w:tcW w:w="2021" w:type="pct"/>
          </w:tcPr>
          <w:p w14:paraId="43AC06D6" w14:textId="77777777" w:rsidR="0072031B" w:rsidRDefault="0072031B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21459A" w:rsidRPr="0066540E" w14:paraId="0E984A47" w14:textId="77777777" w:rsidTr="00650A2A">
        <w:tc>
          <w:tcPr>
            <w:tcW w:w="2979" w:type="pct"/>
          </w:tcPr>
          <w:p w14:paraId="67DD5B0F" w14:textId="2A0757E4" w:rsidR="0021459A" w:rsidRPr="0066540E" w:rsidRDefault="0021459A" w:rsidP="0072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9A3">
              <w:t>Број</w:t>
            </w:r>
            <w:proofErr w:type="spellEnd"/>
            <w:r w:rsidRPr="009549A3">
              <w:t xml:space="preserve"> </w:t>
            </w:r>
            <w:proofErr w:type="spellStart"/>
            <w:r w:rsidRPr="009549A3">
              <w:t>корисника</w:t>
            </w:r>
            <w:proofErr w:type="spellEnd"/>
            <w:r w:rsidRPr="009549A3">
              <w:t xml:space="preserve"> </w:t>
            </w:r>
            <w:proofErr w:type="spellStart"/>
            <w:r w:rsidRPr="009549A3">
              <w:t>који</w:t>
            </w:r>
            <w:proofErr w:type="spellEnd"/>
            <w:r w:rsidRPr="009549A3">
              <w:t xml:space="preserve"> </w:t>
            </w:r>
            <w:proofErr w:type="spellStart"/>
            <w:r w:rsidRPr="009549A3">
              <w:t>станује</w:t>
            </w:r>
            <w:proofErr w:type="spellEnd"/>
            <w:r w:rsidRPr="009549A3">
              <w:t xml:space="preserve"> у </w:t>
            </w:r>
            <w:proofErr w:type="spellStart"/>
            <w:r w:rsidR="0072031B" w:rsidRPr="0072031B">
              <w:t>кућ</w:t>
            </w:r>
            <w:proofErr w:type="spellEnd"/>
            <w:r w:rsidR="0072031B">
              <w:rPr>
                <w:lang w:val="sr-Cyrl-RS"/>
              </w:rPr>
              <w:t>и</w:t>
            </w:r>
            <w:r w:rsidR="0072031B" w:rsidRPr="0072031B">
              <w:t>/</w:t>
            </w:r>
            <w:proofErr w:type="spellStart"/>
            <w:r w:rsidR="0072031B" w:rsidRPr="0072031B">
              <w:t>стана</w:t>
            </w:r>
            <w:proofErr w:type="spellEnd"/>
          </w:p>
        </w:tc>
        <w:tc>
          <w:tcPr>
            <w:tcW w:w="2021" w:type="pct"/>
          </w:tcPr>
          <w:p w14:paraId="31FB3E78" w14:textId="77777777" w:rsidR="0021459A" w:rsidRDefault="0021459A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7DDAB9A" w14:textId="77777777" w:rsidR="00BE1261" w:rsidRDefault="00BE1261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1A21" w:rsidRPr="0066540E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2986F436"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06F51223" w:rsidR="00771A21" w:rsidRPr="0066540E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без</w:t>
            </w:r>
            <w:r w:rsidR="00075EA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 кров са термичком изолацијом </w:t>
            </w:r>
          </w:p>
        </w:tc>
      </w:tr>
      <w:tr w:rsidR="00771A21" w:rsidRPr="0066540E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C56E7C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</w:t>
            </w:r>
            <w:r w:rsidR="00075EA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Default="00771A21" w:rsidP="001A73A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239B2" w14:textId="1C0CE9FC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95CDD09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25E4C4F2"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3820015C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58949EDB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6B70B07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479AA72A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4643668"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100096F5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0A0766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460E7531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2C49CCC0" w:rsidR="00ED03A4" w:rsidRDefault="00ED03A4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52E1E092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Default="00771A21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84F94F4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1"/>
        <w:gridCol w:w="9356"/>
      </w:tblGrid>
      <w:tr w:rsidR="00A0389E" w14:paraId="0C01824E" w14:textId="77777777" w:rsidTr="00B04B51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71600735" w14:textId="34B6277D"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14:paraId="7F08EE8D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06468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14:paraId="6E5E8B23" w14:textId="77777777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49255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14:paraId="4CD974FB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CA9C3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66540E" w14:paraId="68DA166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9A48A" w14:textId="77777777" w:rsidR="00ED03A4" w:rsidRPr="0066540E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0B27BC79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B3AB4" w14:textId="77777777" w:rsidR="00ED03A4" w:rsidRPr="000A0766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64C812A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62076" w14:textId="77777777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2323C88A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15F72" w14:textId="6937F301" w:rsidR="00ED03A4" w:rsidRDefault="00ED03A4" w:rsidP="00ED03A4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0378823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D6E5385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8706FC" w14:textId="77777777"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435E6B5D" w14:textId="77777777" w:rsidTr="00E63938">
        <w:tc>
          <w:tcPr>
            <w:tcW w:w="9323" w:type="dxa"/>
          </w:tcPr>
          <w:p w14:paraId="28619A05" w14:textId="7B4782AC"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66540E" w:rsidRDefault="00E63938" w:rsidP="00B04B5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4A4E4227" w14:textId="6602DDF9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2"/>
    <w:p w14:paraId="03608661" w14:textId="77777777" w:rsidR="00BE1261" w:rsidRPr="00BE1261" w:rsidRDefault="00BE1261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261">
        <w:rPr>
          <w:rFonts w:ascii="Times New Roman" w:hAnsi="Times New Roman" w:cs="Times New Roman"/>
          <w:sz w:val="24"/>
          <w:szCs w:val="24"/>
        </w:rPr>
        <w:t>VII. ОБАВЕЗНА ДОКУМЕНТАЦИЈА УЗ ПРИЈАВУ НА ЈАВНИ ПОЗИВ</w:t>
      </w:r>
    </w:p>
    <w:p w14:paraId="290FD849" w14:textId="77777777" w:rsidR="00BE1261" w:rsidRPr="00BE1261" w:rsidRDefault="00BE1261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91FF7" w14:textId="77777777" w:rsidR="00BE1261" w:rsidRPr="00BE1261" w:rsidRDefault="00BE1261" w:rsidP="00545F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>:</w:t>
      </w:r>
    </w:p>
    <w:p w14:paraId="0D7C3075" w14:textId="77777777" w:rsidR="00BE1261" w:rsidRPr="00BE1261" w:rsidRDefault="00BE1261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BB74B" w14:textId="77777777" w:rsidR="00BE1261" w:rsidRPr="00BE1261" w:rsidRDefault="00BE1261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261">
        <w:rPr>
          <w:rFonts w:ascii="Times New Roman" w:hAnsi="Times New Roman" w:cs="Times New Roman"/>
          <w:sz w:val="24"/>
          <w:szCs w:val="24"/>
        </w:rPr>
        <w:t>1)</w:t>
      </w:r>
      <w:r w:rsidRPr="00BE12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попуњен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Пријавни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суфинасирање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BE1261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попуњеним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мери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пакету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конкурише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грађевинских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фасадних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елемената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грејног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>;</w:t>
      </w:r>
    </w:p>
    <w:p w14:paraId="09939A55" w14:textId="77777777" w:rsidR="00BE1261" w:rsidRPr="00BE1261" w:rsidRDefault="00BE1261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261">
        <w:rPr>
          <w:rFonts w:ascii="Times New Roman" w:hAnsi="Times New Roman" w:cs="Times New Roman"/>
          <w:sz w:val="24"/>
          <w:szCs w:val="24"/>
        </w:rPr>
        <w:t>2)</w:t>
      </w:r>
      <w:r w:rsidRPr="00BE12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власништву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945982" w14:textId="77777777" w:rsidR="00BE1261" w:rsidRPr="00BE1261" w:rsidRDefault="00BE1261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261">
        <w:rPr>
          <w:rFonts w:ascii="Times New Roman" w:hAnsi="Times New Roman" w:cs="Times New Roman"/>
          <w:sz w:val="24"/>
          <w:szCs w:val="24"/>
        </w:rPr>
        <w:t>(1)</w:t>
      </w:r>
      <w:r w:rsidRPr="00BE12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>,</w:t>
      </w:r>
    </w:p>
    <w:p w14:paraId="1C3ADDFE" w14:textId="77777777" w:rsidR="00BE1261" w:rsidRPr="00BE1261" w:rsidRDefault="00BE1261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261">
        <w:rPr>
          <w:rFonts w:ascii="Times New Roman" w:hAnsi="Times New Roman" w:cs="Times New Roman"/>
          <w:sz w:val="24"/>
          <w:szCs w:val="24"/>
        </w:rPr>
        <w:t>(2)</w:t>
      </w:r>
      <w:r w:rsidRPr="00BE12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>,</w:t>
      </w:r>
    </w:p>
    <w:p w14:paraId="1963263A" w14:textId="77777777" w:rsidR="00BE1261" w:rsidRPr="00BE1261" w:rsidRDefault="00BE1261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261">
        <w:rPr>
          <w:rFonts w:ascii="Times New Roman" w:hAnsi="Times New Roman" w:cs="Times New Roman"/>
          <w:sz w:val="24"/>
          <w:szCs w:val="24"/>
        </w:rPr>
        <w:t>3)</w:t>
      </w:r>
      <w:r w:rsidRPr="00BE12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пријављује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писану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>;</w:t>
      </w:r>
    </w:p>
    <w:p w14:paraId="0BBE4774" w14:textId="77777777" w:rsidR="00BE1261" w:rsidRPr="00BE1261" w:rsidRDefault="00BE1261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261">
        <w:rPr>
          <w:rFonts w:ascii="Times New Roman" w:hAnsi="Times New Roman" w:cs="Times New Roman"/>
          <w:sz w:val="24"/>
          <w:szCs w:val="24"/>
        </w:rPr>
        <w:t>4)</w:t>
      </w:r>
      <w:r w:rsidRPr="00BE12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легалности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>:</w:t>
      </w:r>
    </w:p>
    <w:p w14:paraId="1DC7F274" w14:textId="77777777" w:rsidR="00BE1261" w:rsidRPr="00BE1261" w:rsidRDefault="00BE1261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261">
        <w:rPr>
          <w:rFonts w:ascii="Times New Roman" w:hAnsi="Times New Roman" w:cs="Times New Roman"/>
          <w:sz w:val="24"/>
          <w:szCs w:val="24"/>
        </w:rPr>
        <w:t>(1)</w:t>
      </w:r>
      <w:r w:rsidRPr="00BE12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Употребна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или</w:t>
      </w:r>
      <w:proofErr w:type="spellEnd"/>
    </w:p>
    <w:p w14:paraId="1AAD004B" w14:textId="77777777" w:rsidR="00BE1261" w:rsidRPr="00BE1261" w:rsidRDefault="00BE1261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261">
        <w:rPr>
          <w:rFonts w:ascii="Times New Roman" w:hAnsi="Times New Roman" w:cs="Times New Roman"/>
          <w:sz w:val="24"/>
          <w:szCs w:val="24"/>
        </w:rPr>
        <w:t>(2)</w:t>
      </w:r>
      <w:r w:rsidRPr="00BE12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озакоњењу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или</w:t>
      </w:r>
      <w:proofErr w:type="spellEnd"/>
    </w:p>
    <w:p w14:paraId="79F100E7" w14:textId="77777777" w:rsidR="00BE1261" w:rsidRPr="00BE1261" w:rsidRDefault="00BE1261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261">
        <w:rPr>
          <w:rFonts w:ascii="Times New Roman" w:hAnsi="Times New Roman" w:cs="Times New Roman"/>
          <w:sz w:val="24"/>
          <w:szCs w:val="24"/>
        </w:rPr>
        <w:t>(3)</w:t>
      </w:r>
      <w:r w:rsidRPr="00BE12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произилази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BC9EF2" w14:textId="4A593112" w:rsidR="00BE1261" w:rsidRPr="00BE1261" w:rsidRDefault="008A726A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E1261" w:rsidRPr="00BE1261">
        <w:rPr>
          <w:rFonts w:ascii="Times New Roman" w:hAnsi="Times New Roman" w:cs="Times New Roman"/>
          <w:sz w:val="24"/>
          <w:szCs w:val="24"/>
        </w:rPr>
        <w:t>)</w:t>
      </w:r>
      <w:r w:rsidR="00BE1261" w:rsidRPr="00BE126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фотокопије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личних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карата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очитане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физичка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живе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малолетна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фотокопије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здравствених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књижица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траже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фотокопије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лична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>);</w:t>
      </w:r>
    </w:p>
    <w:p w14:paraId="382A7BA9" w14:textId="048D2922" w:rsidR="00BE1261" w:rsidRPr="00BE1261" w:rsidRDefault="008A726A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E1261" w:rsidRPr="00BE1261">
        <w:rPr>
          <w:rFonts w:ascii="Times New Roman" w:hAnsi="Times New Roman" w:cs="Times New Roman"/>
          <w:sz w:val="24"/>
          <w:szCs w:val="24"/>
        </w:rPr>
        <w:t>)</w:t>
      </w:r>
      <w:r w:rsidR="00BE1261" w:rsidRPr="00BE12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утрошену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електричну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енергију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претходном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пријављеном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стамбеном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станује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целе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минимална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потрошња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мања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30 kWh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>);</w:t>
      </w:r>
    </w:p>
    <w:p w14:paraId="50D6E2C0" w14:textId="7580AAF4" w:rsidR="00BE1261" w:rsidRPr="00BE1261" w:rsidRDefault="008A726A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BE1261" w:rsidRPr="00BE1261">
        <w:rPr>
          <w:rFonts w:ascii="Times New Roman" w:hAnsi="Times New Roman" w:cs="Times New Roman"/>
          <w:sz w:val="24"/>
          <w:szCs w:val="24"/>
        </w:rPr>
        <w:t>)</w:t>
      </w:r>
      <w:r w:rsidR="00BE1261" w:rsidRPr="00BE12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меру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поглавља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тачкa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издата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дистрибутера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гаса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прикључења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гасоводну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мрежу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меру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котла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гас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котла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природни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гас</w:t>
      </w:r>
      <w:proofErr w:type="spellEnd"/>
      <w:proofErr w:type="gramStart"/>
      <w:r w:rsidR="00BE1261" w:rsidRPr="00BE1261">
        <w:rPr>
          <w:rFonts w:ascii="Times New Roman" w:hAnsi="Times New Roman" w:cs="Times New Roman"/>
          <w:sz w:val="24"/>
          <w:szCs w:val="24"/>
        </w:rPr>
        <w:t>);;</w:t>
      </w:r>
      <w:proofErr w:type="gramEnd"/>
    </w:p>
    <w:p w14:paraId="5EC5D037" w14:textId="6A66F90C" w:rsidR="00BE1261" w:rsidRPr="00BE1261" w:rsidRDefault="008A726A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BE1261" w:rsidRPr="00BE1261">
        <w:rPr>
          <w:rFonts w:ascii="Times New Roman" w:hAnsi="Times New Roman" w:cs="Times New Roman"/>
          <w:sz w:val="24"/>
          <w:szCs w:val="24"/>
        </w:rPr>
        <w:t>)</w:t>
      </w:r>
      <w:r w:rsidR="00BE1261" w:rsidRPr="00BE12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предмер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предрачун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профактура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уградњом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издата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директних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објавила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издата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lastRenderedPageBreak/>
        <w:t>објављивања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атесте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доказују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минималних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261" w:rsidRPr="00BE1261">
        <w:rPr>
          <w:rFonts w:ascii="Times New Roman" w:hAnsi="Times New Roman" w:cs="Times New Roman"/>
          <w:sz w:val="24"/>
          <w:szCs w:val="24"/>
        </w:rPr>
        <w:t>одељка</w:t>
      </w:r>
      <w:proofErr w:type="spellEnd"/>
      <w:r w:rsidR="00BE1261" w:rsidRPr="00BE1261">
        <w:rPr>
          <w:rFonts w:ascii="Times New Roman" w:hAnsi="Times New Roman" w:cs="Times New Roman"/>
          <w:sz w:val="24"/>
          <w:szCs w:val="24"/>
        </w:rPr>
        <w:t xml:space="preserve"> I.;</w:t>
      </w:r>
    </w:p>
    <w:p w14:paraId="65D1C078" w14:textId="77777777" w:rsidR="00BE1261" w:rsidRPr="00BE1261" w:rsidRDefault="00BE1261" w:rsidP="00BE1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CA69D" w14:textId="3AD1AA6A" w:rsidR="0066540E" w:rsidRPr="0066540E" w:rsidRDefault="00BE1261" w:rsidP="00545F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261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BE1261">
        <w:rPr>
          <w:rFonts w:ascii="Times New Roman" w:hAnsi="Times New Roman" w:cs="Times New Roman"/>
          <w:sz w:val="24"/>
          <w:szCs w:val="24"/>
        </w:rPr>
        <w:t>).</w:t>
      </w:r>
    </w:p>
    <w:p w14:paraId="6C41D997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56979" w14:textId="5DE6C883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540E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2EC04EC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7385B3E3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5309B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8B43A" w14:textId="77777777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DA89A" w14:textId="77777777" w:rsidR="004D43BF" w:rsidRDefault="004D43BF" w:rsidP="00CB7E8C">
      <w:pPr>
        <w:spacing w:after="0" w:line="240" w:lineRule="auto"/>
      </w:pPr>
      <w:r>
        <w:separator/>
      </w:r>
    </w:p>
  </w:endnote>
  <w:endnote w:type="continuationSeparator" w:id="0">
    <w:p w14:paraId="39C25024" w14:textId="77777777" w:rsidR="004D43BF" w:rsidRDefault="004D43BF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22C9F" w14:textId="77777777" w:rsidR="004D43BF" w:rsidRDefault="004D43BF" w:rsidP="00CB7E8C">
      <w:pPr>
        <w:spacing w:after="0" w:line="240" w:lineRule="auto"/>
      </w:pPr>
      <w:r>
        <w:separator/>
      </w:r>
    </w:p>
  </w:footnote>
  <w:footnote w:type="continuationSeparator" w:id="0">
    <w:p w14:paraId="16205820" w14:textId="77777777" w:rsidR="004D43BF" w:rsidRDefault="004D43BF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75EA1"/>
    <w:rsid w:val="00092C82"/>
    <w:rsid w:val="00096283"/>
    <w:rsid w:val="000A570B"/>
    <w:rsid w:val="000A762E"/>
    <w:rsid w:val="000B3E12"/>
    <w:rsid w:val="000B5B83"/>
    <w:rsid w:val="000D4080"/>
    <w:rsid w:val="000D4ACD"/>
    <w:rsid w:val="000D62C7"/>
    <w:rsid w:val="000F1414"/>
    <w:rsid w:val="000F34C9"/>
    <w:rsid w:val="00100950"/>
    <w:rsid w:val="0010131E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20470D"/>
    <w:rsid w:val="00213A2F"/>
    <w:rsid w:val="0021459A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239CB"/>
    <w:rsid w:val="0035606B"/>
    <w:rsid w:val="00370499"/>
    <w:rsid w:val="00394D0F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43BF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45FCB"/>
    <w:rsid w:val="00552A02"/>
    <w:rsid w:val="00556FCB"/>
    <w:rsid w:val="00571359"/>
    <w:rsid w:val="0058199F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031B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A726A"/>
    <w:rsid w:val="008E0438"/>
    <w:rsid w:val="008E3243"/>
    <w:rsid w:val="008E3768"/>
    <w:rsid w:val="008F3544"/>
    <w:rsid w:val="00902AE4"/>
    <w:rsid w:val="00913FD2"/>
    <w:rsid w:val="00916EC9"/>
    <w:rsid w:val="009242B9"/>
    <w:rsid w:val="009453DF"/>
    <w:rsid w:val="009471F0"/>
    <w:rsid w:val="0095725F"/>
    <w:rsid w:val="00974C16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1698"/>
    <w:rsid w:val="00A949DA"/>
    <w:rsid w:val="00AB0591"/>
    <w:rsid w:val="00AE07AA"/>
    <w:rsid w:val="00AE5A07"/>
    <w:rsid w:val="00AF4E34"/>
    <w:rsid w:val="00B04B51"/>
    <w:rsid w:val="00B104CB"/>
    <w:rsid w:val="00B159AD"/>
    <w:rsid w:val="00B25EEE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1261"/>
    <w:rsid w:val="00BE3026"/>
    <w:rsid w:val="00BF2099"/>
    <w:rsid w:val="00C02441"/>
    <w:rsid w:val="00C041E1"/>
    <w:rsid w:val="00C0509B"/>
    <w:rsid w:val="00C053A2"/>
    <w:rsid w:val="00C26C3F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01AFF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  <w15:docId w15:val="{AAF6A944-7784-4390-91D7-D4CCAFF5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11AB1-8513-4A39-841D-F43F92E1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Dusan Josifovic</cp:lastModifiedBy>
  <cp:revision>2</cp:revision>
  <cp:lastPrinted>2021-08-06T05:54:00Z</cp:lastPrinted>
  <dcterms:created xsi:type="dcterms:W3CDTF">2023-10-06T12:28:00Z</dcterms:created>
  <dcterms:modified xsi:type="dcterms:W3CDTF">2023-10-06T12:28:00Z</dcterms:modified>
</cp:coreProperties>
</file>