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FAB2" w14:textId="4626FE22" w:rsidR="00A061BE" w:rsidRPr="00A061BE" w:rsidRDefault="00A061BE" w:rsidP="00A061BE">
      <w:pPr>
        <w:jc w:val="center"/>
        <w:rPr>
          <w:rFonts w:ascii="Calibri" w:hAnsi="Calibri" w:cs="Calibri"/>
          <w:b/>
          <w:bCs/>
          <w:color w:val="52525B"/>
          <w:sz w:val="28"/>
          <w:szCs w:val="28"/>
          <w:shd w:val="clear" w:color="auto" w:fill="FCFCFC"/>
        </w:rPr>
      </w:pPr>
      <w:r w:rsidRPr="00A061BE">
        <w:rPr>
          <w:rFonts w:ascii="Calibri" w:hAnsi="Calibri" w:cs="Calibri"/>
          <w:b/>
          <w:bCs/>
          <w:color w:val="52525B"/>
          <w:sz w:val="28"/>
          <w:szCs w:val="28"/>
          <w:shd w:val="clear" w:color="auto" w:fill="FCFCFC"/>
          <w:lang w:val="sr-Cyrl-RS"/>
        </w:rPr>
        <w:t xml:space="preserve">Pitanja i odgovori u vezi sa Javnim pozivom </w:t>
      </w:r>
      <w:r w:rsidRPr="00A061BE">
        <w:rPr>
          <w:rFonts w:ascii="Calibri" w:hAnsi="Calibri" w:cs="Calibri"/>
          <w:b/>
          <w:bCs/>
          <w:color w:val="52525B"/>
          <w:sz w:val="28"/>
          <w:szCs w:val="28"/>
          <w:shd w:val="clear" w:color="auto" w:fill="FCFCFC"/>
          <w:lang w:val="sr-Latn-RS"/>
        </w:rPr>
        <w:t xml:space="preserve">ReLOaD3 </w:t>
      </w:r>
      <w:r w:rsidRPr="00A061BE">
        <w:rPr>
          <w:rFonts w:ascii="Calibri" w:hAnsi="Calibri" w:cs="Calibri"/>
          <w:b/>
          <w:bCs/>
          <w:color w:val="52525B"/>
          <w:sz w:val="28"/>
          <w:szCs w:val="28"/>
          <w:shd w:val="clear" w:color="auto" w:fill="FCFCFC"/>
          <w:lang w:val="sr-Cyrl-RS"/>
        </w:rPr>
        <w:t>za predaju predloga projekata</w:t>
      </w:r>
      <w:r w:rsidRPr="00A061BE">
        <w:rPr>
          <w:rFonts w:ascii="Calibri" w:hAnsi="Calibri" w:cs="Calibri"/>
          <w:b/>
          <w:bCs/>
          <w:color w:val="52525B"/>
          <w:sz w:val="28"/>
          <w:szCs w:val="28"/>
          <w:shd w:val="clear" w:color="auto" w:fill="FCFCFC"/>
        </w:rPr>
        <w:t xml:space="preserve"> u Aran</w:t>
      </w:r>
      <w:r w:rsidRPr="00A061BE">
        <w:rPr>
          <w:rFonts w:ascii="Calibri" w:hAnsi="Calibri" w:cs="Calibri"/>
          <w:b/>
          <w:bCs/>
          <w:color w:val="52525B"/>
          <w:sz w:val="28"/>
          <w:szCs w:val="28"/>
          <w:shd w:val="clear" w:color="auto" w:fill="FCFCFC"/>
          <w:lang w:val="sr-Latn-RS"/>
        </w:rPr>
        <w:t>đelovacu, Vranju, Vrnjačkoj Banji, Ćupriji i Šapcu.</w:t>
      </w:r>
    </w:p>
    <w:p w14:paraId="6C01279F" w14:textId="77777777" w:rsidR="00A061BE" w:rsidRPr="00A061BE" w:rsidRDefault="00A061BE" w:rsidP="00A061BE">
      <w:pPr>
        <w:rPr>
          <w:b/>
          <w:i/>
          <w:lang w:val="sr-Latn-RS"/>
        </w:rPr>
      </w:pPr>
    </w:p>
    <w:p w14:paraId="0359F8E6" w14:textId="77777777" w:rsidR="00A061BE" w:rsidRPr="00A061BE" w:rsidRDefault="00A061BE" w:rsidP="00A061BE">
      <w:pPr>
        <w:jc w:val="both"/>
        <w:rPr>
          <w:bCs/>
          <w:i/>
          <w:lang w:val="sr-Latn-RS"/>
        </w:rPr>
      </w:pPr>
      <w:r w:rsidRPr="00A061BE">
        <w:rPr>
          <w:bCs/>
          <w:i/>
          <w:lang w:val="sr-Latn-RS"/>
        </w:rPr>
        <w:t xml:space="preserve">1. Da li OCD čiji je predsednik Upravnog odbora i jedan od osnivača zaposlen u organima Opštinske uprave (koji nemaju direktnih veza sa procedurama i aktivnostima za na projektu) može da učestvuje u svojstvu aplikanta ili partnera? </w:t>
      </w:r>
    </w:p>
    <w:p w14:paraId="2DAE4607" w14:textId="77777777" w:rsidR="00A061BE" w:rsidRPr="00A061BE" w:rsidRDefault="00A061BE" w:rsidP="00A061BE">
      <w:pPr>
        <w:jc w:val="both"/>
        <w:rPr>
          <w:b/>
          <w:bCs/>
          <w:lang w:val="sr-Latn-RS"/>
        </w:rPr>
      </w:pPr>
      <w:r w:rsidRPr="00A061BE">
        <w:rPr>
          <w:b/>
          <w:bCs/>
          <w:lang w:val="sr-Latn-RS"/>
        </w:rPr>
        <w:t>Prema pravilima ReLOaD projekta,  OCD koje u bilo kom telu imaju zaposlene u organima Opštinske uprave ne mogu da konkurišu za dobijanje sredstava. </w:t>
      </w:r>
    </w:p>
    <w:p w14:paraId="11C15668" w14:textId="77777777" w:rsidR="00A061BE" w:rsidRPr="00A061BE" w:rsidRDefault="00A061BE" w:rsidP="00A061BE">
      <w:pPr>
        <w:jc w:val="both"/>
        <w:rPr>
          <w:bCs/>
          <w:i/>
          <w:lang w:val="sr-Latn-RS"/>
        </w:rPr>
      </w:pPr>
      <w:r w:rsidRPr="00A061BE">
        <w:rPr>
          <w:bCs/>
          <w:i/>
          <w:lang w:val="sr-Latn-RS"/>
        </w:rPr>
        <w:t>2. Da li jedna OCD koja aplicira može istovremeno da bude glavni aplikant na jednom i partner na drugom projektu?</w:t>
      </w:r>
    </w:p>
    <w:p w14:paraId="411CA1C8" w14:textId="77777777" w:rsidR="00A061BE" w:rsidRPr="00A061BE" w:rsidRDefault="00A061BE" w:rsidP="00A061BE">
      <w:pPr>
        <w:jc w:val="both"/>
        <w:rPr>
          <w:b/>
          <w:bCs/>
          <w:lang w:val="sr-Latn-RS"/>
        </w:rPr>
      </w:pPr>
      <w:r w:rsidRPr="00A061BE">
        <w:rPr>
          <w:b/>
          <w:bCs/>
          <w:lang w:val="sr-Latn-RS"/>
        </w:rPr>
        <w:t xml:space="preserve">Jedna organizacije može da bude i aplikant i partner na dva različita projekta. Takođe može da aplicira sa više projekata,  ali maksimalni iznos u toku trajanja ReLOaD3 programa koja jedna organizacija može doiti je 45.000 USD. </w:t>
      </w:r>
    </w:p>
    <w:p w14:paraId="027752DF" w14:textId="77777777" w:rsidR="00A061BE" w:rsidRPr="00A061BE" w:rsidRDefault="00A061BE" w:rsidP="00A061BE">
      <w:pPr>
        <w:jc w:val="both"/>
        <w:rPr>
          <w:i/>
          <w:lang w:val="sr-Latn-RS"/>
        </w:rPr>
      </w:pPr>
      <w:r w:rsidRPr="00A061BE">
        <w:rPr>
          <w:lang w:val="sr-Latn-RS"/>
        </w:rPr>
        <w:t xml:space="preserve">3. </w:t>
      </w:r>
      <w:r w:rsidRPr="00A061BE">
        <w:rPr>
          <w:i/>
          <w:lang w:val="sr-Latn-RS"/>
        </w:rPr>
        <w:t>Da li organizacija Crvenog krsta ima prava da aplicira, imajući u vidu, da „Crveni krst Srbije uživa pomoć nadležnih državnih organa, organa teritorijalne autonomije i jedinica lokalne samouprave“?</w:t>
      </w:r>
    </w:p>
    <w:p w14:paraId="36B2E6FD" w14:textId="77777777" w:rsidR="00A061BE" w:rsidRPr="00A061BE" w:rsidRDefault="00A061BE" w:rsidP="00A061BE">
      <w:pPr>
        <w:jc w:val="both"/>
        <w:rPr>
          <w:b/>
          <w:bCs/>
          <w:lang w:val="sr-Latn-RS"/>
        </w:rPr>
      </w:pPr>
      <w:r w:rsidRPr="00A061BE">
        <w:rPr>
          <w:b/>
          <w:bCs/>
          <w:lang w:val="sr-Latn-RS"/>
        </w:rPr>
        <w:t>Sva udruženja registrovana prema Zakonu o udruženjima, tj. registrovana kao udruženja građana u Agenciji za privredne registre, mogu da apliciraju na javni konkurs.</w:t>
      </w:r>
    </w:p>
    <w:p w14:paraId="085457AD" w14:textId="77777777" w:rsidR="00A061BE" w:rsidRPr="00A061BE" w:rsidRDefault="00A061BE" w:rsidP="00A061BE">
      <w:pPr>
        <w:jc w:val="both"/>
        <w:rPr>
          <w:i/>
          <w:lang w:val="sr-Latn-RS"/>
        </w:rPr>
      </w:pPr>
      <w:r w:rsidRPr="00A061BE">
        <w:rPr>
          <w:lang w:val="sr-Latn-RS"/>
        </w:rPr>
        <w:t xml:space="preserve">4. </w:t>
      </w:r>
      <w:r w:rsidRPr="00A061BE">
        <w:rPr>
          <w:i/>
          <w:lang w:val="sr-Latn-RS"/>
        </w:rPr>
        <w:t>Da li sportska udruženja ili udruženja lovaca imaju prava da apliciraju?</w:t>
      </w:r>
    </w:p>
    <w:p w14:paraId="26B43136" w14:textId="77777777" w:rsidR="00A061BE" w:rsidRPr="00A061BE" w:rsidRDefault="00A061BE" w:rsidP="00A061BE">
      <w:pPr>
        <w:jc w:val="both"/>
        <w:rPr>
          <w:b/>
          <w:bCs/>
          <w:lang w:val="sr-Latn-RS"/>
        </w:rPr>
      </w:pPr>
      <w:r w:rsidRPr="00A061BE">
        <w:rPr>
          <w:b/>
          <w:bCs/>
          <w:lang w:val="sr-Latn-RS"/>
        </w:rPr>
        <w:t>Sva udruženja registrovana prema Zakonu o udruženjima, tj. registrovana kao udruženja građana u Agenciji za privredne registre, mogu da apliciraju na javni konkurs.</w:t>
      </w:r>
    </w:p>
    <w:p w14:paraId="69D0A248" w14:textId="77777777" w:rsidR="00A061BE" w:rsidRPr="00A061BE" w:rsidRDefault="00A061BE" w:rsidP="00A061BE">
      <w:pPr>
        <w:spacing w:after="0" w:line="240" w:lineRule="auto"/>
        <w:jc w:val="both"/>
        <w:rPr>
          <w:rFonts w:ascii="Calibri" w:eastAsia="Times New Roman" w:hAnsi="Calibri" w:cs="Calibri"/>
          <w:bCs/>
          <w:i/>
          <w:lang w:val="sr-Latn-RS" w:eastAsia="sr-Latn-RS"/>
        </w:rPr>
      </w:pPr>
      <w:r w:rsidRPr="00A061BE">
        <w:rPr>
          <w:rFonts w:ascii="Calibri" w:eastAsia="Times New Roman" w:hAnsi="Calibri" w:cs="Calibri"/>
          <w:bCs/>
          <w:lang w:val="sr-Latn-RS" w:eastAsia="sr-Latn-RS"/>
        </w:rPr>
        <w:t xml:space="preserve">5. </w:t>
      </w:r>
      <w:r w:rsidRPr="00A061BE">
        <w:rPr>
          <w:rFonts w:ascii="Calibri" w:eastAsia="Times New Roman" w:hAnsi="Calibri" w:cs="Calibri"/>
          <w:bCs/>
          <w:i/>
          <w:lang w:val="sr-Latn-RS" w:eastAsia="sr-Latn-RS"/>
        </w:rPr>
        <w:t>Da li se sva dokumentacija (obavezna i dodatna) prilaže na disku/USB-u, i ako se prilaže, da li to znači da se i svi aneksi moraju skenirati (overeni i potpisani)?</w:t>
      </w:r>
    </w:p>
    <w:p w14:paraId="03EE90CE" w14:textId="77777777" w:rsidR="00A061BE" w:rsidRPr="00A061BE" w:rsidRDefault="00A061BE" w:rsidP="00A061BE">
      <w:pPr>
        <w:spacing w:after="0" w:line="240" w:lineRule="auto"/>
        <w:jc w:val="both"/>
        <w:rPr>
          <w:lang w:val="sr-Latn-RS"/>
        </w:rPr>
      </w:pPr>
    </w:p>
    <w:p w14:paraId="7235F0D8" w14:textId="77777777" w:rsidR="00A061BE" w:rsidRPr="00A061BE" w:rsidRDefault="00A061BE" w:rsidP="00A061BE">
      <w:pPr>
        <w:spacing w:after="0" w:line="240" w:lineRule="auto"/>
        <w:jc w:val="both"/>
        <w:rPr>
          <w:b/>
          <w:bCs/>
          <w:lang w:val="sr-Latn-RS"/>
        </w:rPr>
      </w:pPr>
      <w:r w:rsidRPr="00A061BE">
        <w:rPr>
          <w:b/>
          <w:bCs/>
          <w:lang w:val="sr-Latn-RS"/>
        </w:rPr>
        <w:t>Na disku ili usb-u prilažete svu dokumentaciju koju već imate i popunjavate u elektronskom formatu, kao što su administrativni podaci i finansijska identifikaciona forma (ne mora sa potpisom). Statut i rešenje o registraciji je poželjno da skenirate.</w:t>
      </w:r>
    </w:p>
    <w:p w14:paraId="1A658FA6" w14:textId="77777777" w:rsidR="00A061BE" w:rsidRPr="00A061BE" w:rsidRDefault="00A061BE" w:rsidP="00A061BE">
      <w:pPr>
        <w:spacing w:after="0" w:line="240" w:lineRule="auto"/>
        <w:jc w:val="both"/>
        <w:rPr>
          <w:rFonts w:ascii="Calibri" w:eastAsia="Times New Roman" w:hAnsi="Calibri" w:cs="Calibri"/>
          <w:b/>
          <w:i/>
          <w:lang w:val="sr-Latn-RS" w:eastAsia="sr-Latn-RS"/>
        </w:rPr>
      </w:pPr>
    </w:p>
    <w:p w14:paraId="45448C7A" w14:textId="77777777" w:rsidR="00A061BE" w:rsidRPr="00A061BE" w:rsidRDefault="00A061BE" w:rsidP="00A061BE">
      <w:pPr>
        <w:spacing w:after="0" w:line="240" w:lineRule="auto"/>
        <w:jc w:val="both"/>
        <w:rPr>
          <w:rFonts w:ascii="Calibri" w:eastAsia="Times New Roman" w:hAnsi="Calibri" w:cs="Calibri"/>
          <w:bCs/>
          <w:i/>
          <w:lang w:val="sr-Latn-RS" w:eastAsia="sr-Latn-RS"/>
        </w:rPr>
      </w:pPr>
      <w:r w:rsidRPr="00A061BE">
        <w:rPr>
          <w:rFonts w:ascii="Calibri" w:eastAsia="Times New Roman" w:hAnsi="Calibri" w:cs="Calibri"/>
          <w:bCs/>
          <w:i/>
          <w:lang w:val="sr-Latn-RS" w:eastAsia="sr-Latn-RS"/>
        </w:rPr>
        <w:t>6.  Pošto nam je potrebna oprema u svrhu održavanja treninga, da li to prikazujemo u budžetu kao nabavku opreme ili kao deo troška za projektne aktivnosti?</w:t>
      </w:r>
    </w:p>
    <w:p w14:paraId="71CDEE7F" w14:textId="77777777" w:rsidR="00A061BE" w:rsidRPr="00A061BE" w:rsidRDefault="00A061BE" w:rsidP="00A061BE">
      <w:pPr>
        <w:spacing w:after="0" w:line="240" w:lineRule="auto"/>
        <w:jc w:val="both"/>
        <w:rPr>
          <w:rFonts w:ascii="Calibri" w:eastAsia="Times New Roman" w:hAnsi="Calibri" w:cs="Calibri"/>
          <w:b/>
          <w:i/>
          <w:lang w:val="sr-Latn-RS" w:eastAsia="sr-Latn-RS"/>
        </w:rPr>
      </w:pPr>
    </w:p>
    <w:p w14:paraId="04437799" w14:textId="77777777" w:rsidR="00A061BE" w:rsidRPr="00A061BE" w:rsidRDefault="00A061BE" w:rsidP="00A061BE">
      <w:pPr>
        <w:spacing w:after="0" w:line="240" w:lineRule="auto"/>
        <w:jc w:val="both"/>
        <w:rPr>
          <w:rFonts w:ascii="Calibri" w:eastAsia="Times New Roman" w:hAnsi="Calibri" w:cs="Calibri"/>
          <w:b/>
          <w:bCs/>
          <w:lang w:val="sr-Latn-RS" w:eastAsia="sr-Latn-RS"/>
        </w:rPr>
      </w:pPr>
      <w:r w:rsidRPr="00A061BE">
        <w:rPr>
          <w:rFonts w:ascii="Calibri" w:eastAsia="Times New Roman" w:hAnsi="Calibri" w:cs="Calibri"/>
          <w:b/>
          <w:bCs/>
          <w:lang w:val="sr-Latn-RS" w:eastAsia="sr-Latn-RS"/>
        </w:rPr>
        <w:t>Stavku u budžetu nazivate Nabavka opreme (uz adekvatan opis itd) i stavljate je u deo Projektni troškovi.</w:t>
      </w:r>
    </w:p>
    <w:p w14:paraId="2B4FECFE" w14:textId="77777777" w:rsidR="00A061BE" w:rsidRPr="00A061BE" w:rsidRDefault="00A061BE" w:rsidP="00A061BE">
      <w:pPr>
        <w:spacing w:after="0" w:line="240" w:lineRule="auto"/>
        <w:jc w:val="both"/>
        <w:rPr>
          <w:rFonts w:ascii="Calibri" w:eastAsia="Times New Roman" w:hAnsi="Calibri" w:cs="Calibri"/>
          <w:b/>
          <w:i/>
          <w:lang w:val="sr-Latn-RS" w:eastAsia="sr-Latn-RS"/>
        </w:rPr>
      </w:pPr>
    </w:p>
    <w:p w14:paraId="34439FE5" w14:textId="77777777" w:rsidR="00A061BE" w:rsidRPr="00A061BE" w:rsidRDefault="00A061BE" w:rsidP="00A061BE">
      <w:pPr>
        <w:jc w:val="both"/>
        <w:rPr>
          <w:lang w:val="sr-Latn-RS"/>
        </w:rPr>
      </w:pPr>
      <w:r w:rsidRPr="00A061BE">
        <w:rPr>
          <w:lang w:val="sr-Latn-RS"/>
        </w:rPr>
        <w:t>7.       Ko potpisuje Izjavu o ispunjenosti uslova/Izjava o podobnosti?</w:t>
      </w:r>
    </w:p>
    <w:p w14:paraId="2159E2F1" w14:textId="77777777" w:rsidR="00A061BE" w:rsidRPr="00A061BE" w:rsidRDefault="00A061BE" w:rsidP="00A061BE">
      <w:pPr>
        <w:jc w:val="both"/>
        <w:rPr>
          <w:lang w:val="sr-Latn-RS"/>
        </w:rPr>
      </w:pPr>
      <w:r w:rsidRPr="00A061BE">
        <w:rPr>
          <w:b/>
          <w:bCs/>
          <w:lang w:val="sr-Latn-RS"/>
        </w:rPr>
        <w:lastRenderedPageBreak/>
        <w:t>Potpisnik ili potpisnica</w:t>
      </w:r>
      <w:r w:rsidRPr="00A061BE">
        <w:rPr>
          <w:lang w:val="sr-Latn-RS"/>
        </w:rPr>
        <w:t> </w:t>
      </w:r>
      <w:r w:rsidRPr="00A061BE">
        <w:rPr>
          <w:b/>
          <w:bCs/>
          <w:lang w:val="sr-Latn-RS"/>
        </w:rPr>
        <w:t>Izjave o ispunjenosti uslova/Izjave o podobnosti (Aneks 7) može biti bilo ko iz nekog od tela organizacije, na primer iz upravnog ili nadzornog odbora, saveta, skupštine i slično.</w:t>
      </w:r>
    </w:p>
    <w:p w14:paraId="10640DB9" w14:textId="77777777" w:rsidR="00A061BE" w:rsidRPr="00A061BE" w:rsidRDefault="00A061BE" w:rsidP="00A061BE">
      <w:pPr>
        <w:jc w:val="both"/>
        <w:rPr>
          <w:lang w:val="sr-Latn-RS"/>
        </w:rPr>
      </w:pPr>
    </w:p>
    <w:p w14:paraId="696F2156" w14:textId="77777777" w:rsidR="00A061BE" w:rsidRPr="00A061BE" w:rsidRDefault="00A061BE" w:rsidP="00A061BE">
      <w:pPr>
        <w:jc w:val="both"/>
        <w:rPr>
          <w:lang w:val="sr-Latn-RS"/>
        </w:rPr>
      </w:pPr>
      <w:r w:rsidRPr="00A061BE">
        <w:rPr>
          <w:lang w:val="sr-Latn-RS"/>
        </w:rPr>
        <w:t>8.       U spisku dokumentacije piše da je potrebno dostaviti kopiju važećeg Rešenja o registraciji. Da li to znači da je, na primer, moguće dostaviti Rešenje APR-a o osnivanju organizacije (koje pritom nije ne starije od 6 meseci)?</w:t>
      </w:r>
    </w:p>
    <w:p w14:paraId="675EC3BF" w14:textId="77777777" w:rsidR="00A061BE" w:rsidRPr="00A061BE" w:rsidRDefault="00A061BE" w:rsidP="00A061BE">
      <w:pPr>
        <w:jc w:val="both"/>
        <w:rPr>
          <w:lang w:val="sr-Latn-RS"/>
        </w:rPr>
      </w:pPr>
      <w:r w:rsidRPr="00A061BE">
        <w:rPr>
          <w:b/>
          <w:bCs/>
          <w:lang w:val="sr-Latn-RS"/>
        </w:rPr>
        <w:t>Potrebno je dostaviti kopiju važećeg rešenja o registraciji organizacije u Srbiji ili izvoda o registrovanim podacima o udruženju (za nosioca projekta/aplikanta i eventualne partnere na projektu) (videti </w:t>
      </w:r>
      <w:r w:rsidRPr="00A061BE">
        <w:rPr>
          <w:b/>
          <w:bCs/>
          <w:i/>
          <w:iCs/>
          <w:lang w:val="sr-Latn-RS"/>
        </w:rPr>
        <w:t>Smernice za podnosioce predloga projekata</w:t>
      </w:r>
      <w:r w:rsidRPr="00A061BE">
        <w:rPr>
          <w:b/>
          <w:bCs/>
          <w:lang w:val="sr-Latn-RS"/>
        </w:rPr>
        <w:t>: Opšte informacije o pozivu za predaju predloga projekata). Drugim rečima, potrebno je dostaviti dokument iz Agencije za privredne registre kojim se dokazuje postojanje udruženja i da je udruženje registrovano.</w:t>
      </w:r>
    </w:p>
    <w:p w14:paraId="3988589E" w14:textId="77777777" w:rsidR="00A061BE" w:rsidRPr="00A061BE" w:rsidRDefault="00A061BE" w:rsidP="00A061BE">
      <w:pPr>
        <w:jc w:val="both"/>
        <w:rPr>
          <w:lang w:val="sr-Latn-RS"/>
        </w:rPr>
      </w:pPr>
      <w:r w:rsidRPr="00A061BE">
        <w:rPr>
          <w:b/>
          <w:bCs/>
          <w:lang w:val="sr-Latn-RS"/>
        </w:rPr>
        <w:t> </w:t>
      </w:r>
    </w:p>
    <w:p w14:paraId="3EBC8442" w14:textId="77777777" w:rsidR="00A061BE" w:rsidRPr="00A061BE" w:rsidRDefault="00A061BE" w:rsidP="00A061BE">
      <w:pPr>
        <w:jc w:val="both"/>
        <w:rPr>
          <w:lang w:val="sr-Latn-RS"/>
        </w:rPr>
      </w:pPr>
      <w:r w:rsidRPr="00A061BE">
        <w:rPr>
          <w:lang w:val="sr-Latn-RS"/>
        </w:rPr>
        <w:t>9.       U Smernicama piše da će se, u slučaju da se odobri predlog projekta za finansiranje, tražiti prevod predloga projekta na engleski jezik. Da li je moguće uključiti trošak ovog prevoda u budžet projekta?</w:t>
      </w:r>
    </w:p>
    <w:p w14:paraId="612AB02A" w14:textId="77777777" w:rsidR="00A061BE" w:rsidRPr="00A061BE" w:rsidRDefault="00A061BE" w:rsidP="00A061BE">
      <w:pPr>
        <w:jc w:val="both"/>
        <w:rPr>
          <w:lang w:val="sr-Latn-RS"/>
        </w:rPr>
      </w:pPr>
      <w:r w:rsidRPr="00A061BE">
        <w:rPr>
          <w:b/>
          <w:bCs/>
          <w:lang w:val="sr-Latn-RS"/>
        </w:rPr>
        <w:t>Troškovi prevoda predloga projekta na engleski jezik mogu biti uključeni u budžet projekta.</w:t>
      </w:r>
    </w:p>
    <w:p w14:paraId="3DB53371" w14:textId="77777777" w:rsidR="00A061BE" w:rsidRPr="00A061BE" w:rsidRDefault="00A061BE" w:rsidP="00A061BE">
      <w:pPr>
        <w:jc w:val="both"/>
        <w:rPr>
          <w:lang w:val="sr-Latn-RS"/>
        </w:rPr>
      </w:pPr>
      <w:r w:rsidRPr="00A061BE">
        <w:rPr>
          <w:lang w:val="sr-Latn-RS"/>
        </w:rPr>
        <w:t> </w:t>
      </w:r>
    </w:p>
    <w:p w14:paraId="6B835D60" w14:textId="77777777" w:rsidR="00A061BE" w:rsidRPr="00A061BE" w:rsidRDefault="00A061BE" w:rsidP="00A061BE">
      <w:pPr>
        <w:jc w:val="both"/>
        <w:rPr>
          <w:lang w:val="sr-Latn-RS"/>
        </w:rPr>
      </w:pPr>
      <w:r w:rsidRPr="00A061BE">
        <w:rPr>
          <w:lang w:val="sr-Latn-RS"/>
        </w:rPr>
        <w:t>10.       Da li u konkursnoj dokumentaciji postoji obrazac narativnog budžeta ili ga organizacije same prave?</w:t>
      </w:r>
    </w:p>
    <w:p w14:paraId="29A21839" w14:textId="77777777" w:rsidR="00A061BE" w:rsidRPr="00A061BE" w:rsidRDefault="00A061BE" w:rsidP="00A061BE">
      <w:pPr>
        <w:jc w:val="both"/>
        <w:rPr>
          <w:lang w:val="sr-Latn-RS"/>
        </w:rPr>
      </w:pPr>
      <w:r w:rsidRPr="00A061BE">
        <w:rPr>
          <w:b/>
          <w:bCs/>
          <w:lang w:val="sr-Latn-RS"/>
        </w:rPr>
        <w:t>Narativni budžet se unosi u odeljak 13 obrasca predloga projekta (Aneks 1).</w:t>
      </w:r>
    </w:p>
    <w:p w14:paraId="4A880F5C" w14:textId="77777777" w:rsidR="00A061BE" w:rsidRPr="00A061BE" w:rsidRDefault="00A061BE" w:rsidP="00A061BE">
      <w:pPr>
        <w:jc w:val="both"/>
        <w:rPr>
          <w:lang w:val="sr-Latn-RS"/>
        </w:rPr>
      </w:pPr>
      <w:r w:rsidRPr="00A061BE">
        <w:rPr>
          <w:b/>
          <w:bCs/>
          <w:lang w:val="sr-Latn-RS"/>
        </w:rPr>
        <w:t> </w:t>
      </w:r>
    </w:p>
    <w:p w14:paraId="60C20F4A" w14:textId="77777777" w:rsidR="00A061BE" w:rsidRPr="00A061BE" w:rsidRDefault="00A061BE" w:rsidP="00A061BE">
      <w:pPr>
        <w:jc w:val="both"/>
        <w:rPr>
          <w:lang w:val="sr-Latn-RS"/>
        </w:rPr>
      </w:pPr>
      <w:r w:rsidRPr="00A061BE">
        <w:rPr>
          <w:lang w:val="sr-Latn-RS"/>
        </w:rPr>
        <w:t>11.       Koji je poslednji mesec kada se može početi sa realizacijom projekta. Da li se, ukoliko projektni predlog bude odobren, sa realizacijom projekta mora započeti u 2026. godini, ili se može krenuti u 2027. godini? Ukoliko projekat mora krenuti u 2026. godini, da li postoje neki uslovi (npr. da projekat većinski mora biti realizovan u 2026.)?</w:t>
      </w:r>
    </w:p>
    <w:p w14:paraId="0FD1860B" w14:textId="77777777" w:rsidR="00A061BE" w:rsidRPr="00A061BE" w:rsidRDefault="00A061BE" w:rsidP="00A061BE">
      <w:pPr>
        <w:jc w:val="both"/>
        <w:rPr>
          <w:lang w:val="sr-Latn-RS"/>
        </w:rPr>
      </w:pPr>
      <w:r w:rsidRPr="00A061BE">
        <w:rPr>
          <w:b/>
          <w:bCs/>
          <w:lang w:val="sr-Latn-RS"/>
        </w:rPr>
        <w:t>Svi projekti koji budu izabrani za finansiranje počinju sa implementacijom u istom trenutku, nakon potpisivanja Sporazuma o grantu između udruženja i UNDP-a. Potpisivanje je planirano za septembar 2026. godine, nakon završetka svih neophodnih administrativnih procedura od strane lokalne samouprave i UNDP-a.</w:t>
      </w:r>
    </w:p>
    <w:p w14:paraId="741006A5" w14:textId="77777777" w:rsidR="00A061BE" w:rsidRPr="00A061BE" w:rsidRDefault="00A061BE" w:rsidP="00A061BE">
      <w:pPr>
        <w:jc w:val="both"/>
        <w:rPr>
          <w:lang w:val="sr-Latn-RS"/>
        </w:rPr>
      </w:pPr>
      <w:r w:rsidRPr="00A061BE">
        <w:rPr>
          <w:b/>
          <w:bCs/>
          <w:lang w:val="sr-Latn-RS"/>
        </w:rPr>
        <w:t>  </w:t>
      </w:r>
    </w:p>
    <w:p w14:paraId="25DBE00E" w14:textId="77777777" w:rsidR="00A061BE" w:rsidRPr="00A061BE" w:rsidRDefault="00A061BE" w:rsidP="00A061BE">
      <w:pPr>
        <w:jc w:val="both"/>
        <w:rPr>
          <w:lang w:val="sr-Latn-RS"/>
        </w:rPr>
      </w:pPr>
      <w:r w:rsidRPr="00A061BE">
        <w:rPr>
          <w:lang w:val="sr-Latn-RS"/>
        </w:rPr>
        <w:t>12.       Da li može partner na projektu da bude savez udruženja?</w:t>
      </w:r>
    </w:p>
    <w:p w14:paraId="7F2F3327" w14:textId="77777777" w:rsidR="00A061BE" w:rsidRPr="00A061BE" w:rsidRDefault="00A061BE" w:rsidP="00A061BE">
      <w:pPr>
        <w:jc w:val="both"/>
        <w:rPr>
          <w:b/>
          <w:bCs/>
          <w:lang w:val="sr-Latn-RS"/>
        </w:rPr>
      </w:pPr>
      <w:r w:rsidRPr="00A061BE">
        <w:rPr>
          <w:b/>
          <w:bCs/>
          <w:lang w:val="sr-Latn-RS"/>
        </w:rPr>
        <w:t xml:space="preserve">Sva formalno registrovana udruženja građana i njihovi savezi mogu biti partneri na projektu. Partneri aplikanta učestvuju u kreiranju i implementaciji projekta, ista pravila se primenjuju za partnerske </w:t>
      </w:r>
      <w:r w:rsidRPr="00A061BE">
        <w:rPr>
          <w:b/>
          <w:bCs/>
          <w:lang w:val="sr-Latn-RS"/>
        </w:rPr>
        <w:lastRenderedPageBreak/>
        <w:t>organizacije kao i za nosioca projekta (aplikanta). Partnerske organizacije moraju da zadovolje iste uslove kao i aplikant. Ako aplicira u partnerstvu, “Aplikant” će biti vodeća organizacija, a ako bude izabran kao ugovorna strana (“Korisnik”), u potpunosti će snositi pravne i finansijske odgovornosti za izvršenje projekta. Izjava o partnerstvu mora da bude ispravno popunjena, da čini sastavni deo aplikacije, kao i da bude predata zajedno sa aplikacijom. Forma izjave u Aneksu 9 mora sadržati detalje o svim OCD koje su uključene, kao i sporazum o partnerstvu kojim se definiše saradnja (videti </w:t>
      </w:r>
      <w:r w:rsidRPr="00A061BE">
        <w:rPr>
          <w:b/>
          <w:bCs/>
          <w:i/>
          <w:iCs/>
          <w:lang w:val="sr-Latn-RS"/>
        </w:rPr>
        <w:t>Smernice za podnosioce predloga projekta</w:t>
      </w:r>
      <w:r w:rsidRPr="00A061BE">
        <w:rPr>
          <w:b/>
          <w:bCs/>
          <w:lang w:val="sr-Latn-RS"/>
        </w:rPr>
        <w:t>: Partnerstva i podobnost partnera).</w:t>
      </w:r>
    </w:p>
    <w:p w14:paraId="50CA569A" w14:textId="77777777" w:rsidR="00A061BE" w:rsidRPr="00A061BE" w:rsidRDefault="00A061BE" w:rsidP="00A061BE">
      <w:pPr>
        <w:jc w:val="both"/>
        <w:rPr>
          <w:lang w:val="sr-Latn-RS"/>
        </w:rPr>
      </w:pPr>
    </w:p>
    <w:p w14:paraId="7D694076" w14:textId="77777777" w:rsidR="00A061BE" w:rsidRPr="00A061BE" w:rsidRDefault="00A061BE" w:rsidP="00A061BE">
      <w:pPr>
        <w:jc w:val="both"/>
        <w:rPr>
          <w:lang w:val="sr-Latn-RS"/>
        </w:rPr>
      </w:pPr>
      <w:r w:rsidRPr="00A061BE">
        <w:rPr>
          <w:lang w:val="sr-Latn-RS"/>
        </w:rPr>
        <w:t>13.       Da li je obavezno popunjavanje tabelarnog budžeta po mesecima (Aneks 2: Budžet projekta) i koji se tu iznosi unose?</w:t>
      </w:r>
    </w:p>
    <w:p w14:paraId="49DAEBFF" w14:textId="77777777" w:rsidR="00A061BE" w:rsidRPr="00A061BE" w:rsidRDefault="00A061BE" w:rsidP="00A061BE">
      <w:pPr>
        <w:jc w:val="both"/>
        <w:rPr>
          <w:lang w:val="sr-Latn-RS"/>
        </w:rPr>
      </w:pPr>
      <w:r w:rsidRPr="00A061BE">
        <w:rPr>
          <w:b/>
          <w:bCs/>
          <w:lang w:val="sr-Latn-RS"/>
        </w:rPr>
        <w:t>Popunjavanje Aneksa 2 je obavezno je i predstavlja prikaz planiranih troškova po mesecima, koji u ukupnom zbiru mora biti jednak iznosu ’ukupno USD’ za tu budžetsku liniju.</w:t>
      </w:r>
    </w:p>
    <w:p w14:paraId="6E9C7CA9" w14:textId="77777777" w:rsidR="00A061BE" w:rsidRPr="00A061BE" w:rsidRDefault="00A061BE" w:rsidP="00A061BE">
      <w:pPr>
        <w:jc w:val="both"/>
        <w:rPr>
          <w:lang w:val="sr-Latn-RS"/>
        </w:rPr>
      </w:pPr>
      <w:r w:rsidRPr="00A061BE">
        <w:rPr>
          <w:lang w:val="sr-Latn-RS"/>
        </w:rPr>
        <w:t> </w:t>
      </w:r>
    </w:p>
    <w:p w14:paraId="0467563C" w14:textId="77777777" w:rsidR="00A061BE" w:rsidRPr="00A061BE" w:rsidRDefault="00A061BE" w:rsidP="00A061BE">
      <w:pPr>
        <w:jc w:val="both"/>
        <w:rPr>
          <w:lang w:val="sr-Latn-RS"/>
        </w:rPr>
      </w:pPr>
      <w:r w:rsidRPr="00A061BE">
        <w:rPr>
          <w:lang w:val="sr-Latn-RS"/>
        </w:rPr>
        <w:t>14.       Kojim fontom (veličina slova) pišemo predlog projekta?</w:t>
      </w:r>
    </w:p>
    <w:p w14:paraId="0B63F293" w14:textId="77777777" w:rsidR="00A061BE" w:rsidRPr="00A061BE" w:rsidRDefault="00A061BE" w:rsidP="00A061BE">
      <w:pPr>
        <w:jc w:val="both"/>
        <w:rPr>
          <w:lang w:val="sr-Latn-RS"/>
        </w:rPr>
      </w:pPr>
      <w:r w:rsidRPr="00A061BE">
        <w:rPr>
          <w:b/>
          <w:bCs/>
          <w:lang w:val="sr-Latn-RS"/>
        </w:rPr>
        <w:t>Preporučujemo da se držite veličine fonta koji je korišćen u obrascu predloga projekta za nazive odeljaka/sekcija (10-11).</w:t>
      </w:r>
    </w:p>
    <w:p w14:paraId="145D9C6A" w14:textId="77777777" w:rsidR="00A061BE" w:rsidRPr="00A061BE" w:rsidRDefault="00A061BE" w:rsidP="00A061BE">
      <w:pPr>
        <w:jc w:val="both"/>
        <w:rPr>
          <w:lang w:val="sr-Latn-RS"/>
        </w:rPr>
      </w:pPr>
      <w:r w:rsidRPr="00A061BE">
        <w:rPr>
          <w:b/>
          <w:bCs/>
          <w:lang w:val="sr-Latn-RS"/>
        </w:rPr>
        <w:t> </w:t>
      </w:r>
    </w:p>
    <w:p w14:paraId="66464C06" w14:textId="77777777" w:rsidR="00A061BE" w:rsidRPr="00A061BE" w:rsidRDefault="00A061BE" w:rsidP="00A061BE">
      <w:pPr>
        <w:jc w:val="both"/>
        <w:rPr>
          <w:lang w:val="sr-Latn-RS"/>
        </w:rPr>
      </w:pPr>
      <w:r w:rsidRPr="00A061BE">
        <w:rPr>
          <w:lang w:val="sr-Latn-RS"/>
        </w:rPr>
        <w:t>15.       U okviru dokumentacije predloga projekta, navedeno je da treba podneti i kopije Godišnjeg finansijskog izvestaja za 2025. godinu (Bilans stanja i Bilans uspeha). Udruženje nije imalo promet u 2025, tako da je, u skladu sa Zakonom, APR-u podneta samo Izjava o neaktivnosti za 2025. Godišnji finansijski izveštaji za prethodne godine su podneti APR-u. Da li je u ovom slučaju moguće da se umesto Godišnjeg finansijskog izvestaja za 2025. dostavi Izjava o neaktivnosti za 2025. i da li je u tom slučaju potrebno da se priloži i Godisnji finansijski izvestaj za 2024, odnosno Bilans stanja i Bilans uspeha za 2024. godinu?</w:t>
      </w:r>
    </w:p>
    <w:p w14:paraId="31DF60E4" w14:textId="77777777" w:rsidR="00A061BE" w:rsidRPr="00A061BE" w:rsidRDefault="00A061BE" w:rsidP="00A061BE">
      <w:pPr>
        <w:jc w:val="both"/>
        <w:rPr>
          <w:lang w:val="sr-Latn-RS"/>
        </w:rPr>
      </w:pPr>
      <w:r w:rsidRPr="00A061BE">
        <w:rPr>
          <w:b/>
          <w:bCs/>
          <w:lang w:val="sr-Latn-RS"/>
        </w:rPr>
        <w:t>U slučaju da udruženje nije imalo promet u 2025. godini, potrebno je dostaviti Izjavu o neaktivnosti za 2024. i Bilans stanja za 2024. godinu.</w:t>
      </w:r>
    </w:p>
    <w:p w14:paraId="6194D515" w14:textId="77777777" w:rsidR="00A061BE" w:rsidRPr="00A061BE" w:rsidRDefault="00A061BE" w:rsidP="00A061BE">
      <w:pPr>
        <w:jc w:val="both"/>
        <w:rPr>
          <w:lang w:val="sr-Latn-RS"/>
        </w:rPr>
      </w:pPr>
      <w:r w:rsidRPr="00A061BE">
        <w:rPr>
          <w:lang w:val="sr-Latn-RS"/>
        </w:rPr>
        <w:t> </w:t>
      </w:r>
    </w:p>
    <w:p w14:paraId="25BF60B2" w14:textId="77777777" w:rsidR="00A061BE" w:rsidRPr="00A061BE" w:rsidRDefault="00A061BE" w:rsidP="00A061BE">
      <w:pPr>
        <w:jc w:val="both"/>
        <w:rPr>
          <w:lang w:val="sr-Latn-RS"/>
        </w:rPr>
      </w:pPr>
      <w:r w:rsidRPr="00A061BE">
        <w:rPr>
          <w:lang w:val="sr-Latn-RS"/>
        </w:rPr>
        <w:t>16.   Da li se rubrici „Prethodna iskustva saradnje sa donatorima“ konkretno misli na saradnju sa gradskim, pokrajinskim i republičkim ministarstvima, ili se misli na donacije ostalih institucija, nepovratnih grantova i ostalo?</w:t>
      </w:r>
    </w:p>
    <w:p w14:paraId="39ED4CE1" w14:textId="77777777" w:rsidR="00A061BE" w:rsidRPr="00A061BE" w:rsidRDefault="00A061BE" w:rsidP="00A061BE">
      <w:pPr>
        <w:jc w:val="both"/>
        <w:rPr>
          <w:lang w:val="sr-Latn-RS"/>
        </w:rPr>
      </w:pPr>
      <w:r w:rsidRPr="00A061BE">
        <w:rPr>
          <w:b/>
          <w:bCs/>
          <w:lang w:val="sr-Latn-RS"/>
        </w:rPr>
        <w:t>Stavka „Prethodna iskustva saradnje sa donatorima“ u obrascu predloga projekta odnosi se na finansiranje od strane ministarstava, stranih donatora, drugih organizacija i institucija. Drugim rečima, tu treba uneti tražene podatke o svim projektima koji su sprovedeni u prethodne tri godine zahvaljujući dodeljenim sredstvima.</w:t>
      </w:r>
    </w:p>
    <w:p w14:paraId="5FAB20C3" w14:textId="77777777" w:rsidR="00A061BE" w:rsidRPr="00A061BE" w:rsidRDefault="00A061BE" w:rsidP="00A061BE">
      <w:pPr>
        <w:jc w:val="both"/>
        <w:rPr>
          <w:lang w:val="sr-Latn-RS"/>
        </w:rPr>
      </w:pPr>
      <w:r w:rsidRPr="00A061BE">
        <w:rPr>
          <w:b/>
          <w:bCs/>
          <w:lang w:val="sr-Latn-RS"/>
        </w:rPr>
        <w:lastRenderedPageBreak/>
        <w:t>  </w:t>
      </w:r>
    </w:p>
    <w:p w14:paraId="4314CE8D" w14:textId="77777777" w:rsidR="00A061BE" w:rsidRPr="00A061BE" w:rsidRDefault="00A061BE" w:rsidP="00A061BE">
      <w:pPr>
        <w:jc w:val="both"/>
        <w:rPr>
          <w:lang w:val="sr-Latn-RS"/>
        </w:rPr>
      </w:pPr>
      <w:r w:rsidRPr="00A061BE">
        <w:rPr>
          <w:lang w:val="sr-Latn-RS"/>
        </w:rPr>
        <w:t>17.   Da li budžet mora da se iskazuje u USD, ili može u dinarskoj protivvrednosti?</w:t>
      </w:r>
    </w:p>
    <w:p w14:paraId="1044DEC7" w14:textId="77777777" w:rsidR="00A061BE" w:rsidRPr="00A061BE" w:rsidRDefault="00A061BE" w:rsidP="00A061BE">
      <w:pPr>
        <w:jc w:val="both"/>
        <w:rPr>
          <w:lang w:val="sr-Latn-RS"/>
        </w:rPr>
      </w:pPr>
      <w:r w:rsidRPr="00A061BE">
        <w:rPr>
          <w:b/>
          <w:bCs/>
          <w:lang w:val="sr-Latn-RS"/>
        </w:rPr>
        <w:t>Budžet projekta se prilaže u onoj valuti koja je zadata obrascem (Aneks 2: Pregled budžeta i plan potrošnje), a to su američki dolari (USD).</w:t>
      </w:r>
    </w:p>
    <w:p w14:paraId="3D232CD1" w14:textId="77777777" w:rsidR="00A061BE" w:rsidRPr="00A061BE" w:rsidRDefault="00A061BE" w:rsidP="00A061BE">
      <w:pPr>
        <w:jc w:val="both"/>
        <w:rPr>
          <w:lang w:val="sr-Latn-RS"/>
        </w:rPr>
      </w:pPr>
      <w:r w:rsidRPr="00A061BE">
        <w:rPr>
          <w:b/>
          <w:bCs/>
          <w:lang w:val="sr-Latn-RS"/>
        </w:rPr>
        <w:t> </w:t>
      </w:r>
    </w:p>
    <w:p w14:paraId="097B346E" w14:textId="77777777" w:rsidR="00A061BE" w:rsidRPr="00A061BE" w:rsidRDefault="00A061BE" w:rsidP="00A061BE">
      <w:pPr>
        <w:jc w:val="both"/>
        <w:rPr>
          <w:lang w:val="sr-Latn-RS"/>
        </w:rPr>
      </w:pPr>
      <w:r w:rsidRPr="00A061BE">
        <w:rPr>
          <w:lang w:val="sr-Latn-RS"/>
        </w:rPr>
        <w:t>18.   Da li je neophodno budžet direktno povezati sa svakom aktivnosti pojedinačno?</w:t>
      </w:r>
    </w:p>
    <w:p w14:paraId="56972605" w14:textId="77777777" w:rsidR="00A061BE" w:rsidRPr="00A061BE" w:rsidRDefault="00A061BE" w:rsidP="00A061BE">
      <w:pPr>
        <w:jc w:val="both"/>
        <w:rPr>
          <w:lang w:val="sr-Latn-RS"/>
        </w:rPr>
      </w:pPr>
      <w:r w:rsidRPr="00A061BE">
        <w:rPr>
          <w:b/>
          <w:bCs/>
          <w:lang w:val="sr-Latn-RS"/>
        </w:rPr>
        <w:t>Budžet projekta je neophodno povezati sa svakom aktivnošću ponaosob. Budžet je preslikavanje predloga projekta u novčane vrednosti. U Excel tabeli (Aneks 2: Pregled budžeta i plan potrošnje) je potrebno navesti troškove realizacije projektnih aktivnosti. Obezbedite što je moguće veći broj budžetskih linija zasnovanih na jasno utvrđenim troškovima, izbegavajući približne procene. Ukoliko postoji sufinansiranje od strane drugih donatora, potrebno ih je staviti u odvojenu budžetsku kolonu kako bi evaluaciona komisija jasno mogla da proceni traženi iznos po ovom javnom pozivu. Takođe projektni predlog i budžet treba da budu usklađeni. Ukoliko je neka aktivnost navedena u projektnom predlogu a nije budžetirana, evaluaciona komisija će teško izvršiti evaluaciju projektne ideje vašeg projekta.</w:t>
      </w:r>
    </w:p>
    <w:p w14:paraId="7F9A6148" w14:textId="77777777" w:rsidR="00A061BE" w:rsidRPr="00A061BE" w:rsidRDefault="00A061BE" w:rsidP="00A061BE">
      <w:pPr>
        <w:jc w:val="both"/>
        <w:rPr>
          <w:lang w:val="sr-Latn-RS"/>
        </w:rPr>
      </w:pPr>
      <w:r w:rsidRPr="00A061BE">
        <w:rPr>
          <w:b/>
          <w:bCs/>
          <w:lang w:val="sr-Latn-RS"/>
        </w:rPr>
        <w:t> </w:t>
      </w:r>
    </w:p>
    <w:p w14:paraId="609314B2" w14:textId="77777777" w:rsidR="00A061BE" w:rsidRPr="00A061BE" w:rsidRDefault="00A061BE" w:rsidP="00A061BE">
      <w:pPr>
        <w:jc w:val="both"/>
        <w:rPr>
          <w:lang w:val="sr-Latn-RS"/>
        </w:rPr>
      </w:pPr>
      <w:r w:rsidRPr="00A061BE">
        <w:rPr>
          <w:b/>
          <w:bCs/>
          <w:lang w:val="sr-Latn-RS"/>
        </w:rPr>
        <w:t>U ovoj sekciji potrebno je opisati troškove koji nisu jasno definisani u budžetu. Ovo je narativno pojašnjenje samoga budžeta projekta. U ovom poglavlju važno je ukazati na opravdanost svakog troška i/ili nabavke, npr. nema potrebe tražiti kupovinu opreme ukoliko ista nije neophodna za realizaciju projekta.  Molimo vas da uvek procenite korist i troškove te da pojasnite zašto je kupovina neophodna. </w:t>
      </w:r>
    </w:p>
    <w:p w14:paraId="058DCF27" w14:textId="77777777" w:rsidR="00A061BE" w:rsidRPr="00A061BE" w:rsidRDefault="00A061BE" w:rsidP="00A061BE">
      <w:pPr>
        <w:jc w:val="both"/>
        <w:rPr>
          <w:lang w:val="sr-Latn-RS"/>
        </w:rPr>
      </w:pPr>
      <w:r w:rsidRPr="00A061BE">
        <w:rPr>
          <w:b/>
          <w:bCs/>
          <w:lang w:val="sr-Latn-RS"/>
        </w:rPr>
        <w:t> </w:t>
      </w:r>
    </w:p>
    <w:p w14:paraId="2C50C085" w14:textId="77777777" w:rsidR="00A061BE" w:rsidRPr="00A061BE" w:rsidRDefault="00A061BE" w:rsidP="00A061BE">
      <w:pPr>
        <w:jc w:val="both"/>
        <w:rPr>
          <w:lang w:val="sr-Latn-RS"/>
        </w:rPr>
      </w:pPr>
      <w:r w:rsidRPr="00A061BE">
        <w:rPr>
          <w:b/>
          <w:bCs/>
          <w:lang w:val="sr-Latn-RS"/>
        </w:rPr>
        <w:t>U ovoj sekciji projektnog predloga treba dati narativno objašnjenje svih budžetskih linija i podlinija koje same po sebi nisu jasne iz tabele u kojoj je prikazan budžet.</w:t>
      </w:r>
    </w:p>
    <w:p w14:paraId="30F66E62" w14:textId="77777777" w:rsidR="00A061BE" w:rsidRPr="00A061BE" w:rsidRDefault="00A061BE" w:rsidP="00A061BE">
      <w:pPr>
        <w:jc w:val="both"/>
        <w:rPr>
          <w:lang w:val="sr-Latn-RS"/>
        </w:rPr>
      </w:pPr>
      <w:r w:rsidRPr="00A061BE">
        <w:rPr>
          <w:b/>
          <w:bCs/>
          <w:lang w:val="sr-Latn-RS"/>
        </w:rPr>
        <w:t>  </w:t>
      </w:r>
    </w:p>
    <w:p w14:paraId="78F564B0" w14:textId="77777777" w:rsidR="00A061BE" w:rsidRPr="00A061BE" w:rsidRDefault="00A061BE" w:rsidP="00A061BE">
      <w:pPr>
        <w:jc w:val="both"/>
        <w:rPr>
          <w:lang w:val="sr-Latn-RS"/>
        </w:rPr>
      </w:pPr>
      <w:r w:rsidRPr="00A061BE">
        <w:rPr>
          <w:lang w:val="sr-Latn-RS"/>
        </w:rPr>
        <w:t>19.   Šta podrazumeva dokument koji spada u dodatnu dokumentaciju: Kopija godišnjeg narativnog izveštaja za 2025. godinu?</w:t>
      </w:r>
    </w:p>
    <w:p w14:paraId="7924B1E4" w14:textId="77777777" w:rsidR="00A061BE" w:rsidRPr="00A061BE" w:rsidRDefault="00A061BE" w:rsidP="00A061BE">
      <w:pPr>
        <w:jc w:val="both"/>
        <w:rPr>
          <w:lang w:val="sr-Latn-RS"/>
        </w:rPr>
      </w:pPr>
      <w:r w:rsidRPr="00A061BE">
        <w:rPr>
          <w:b/>
          <w:bCs/>
          <w:lang w:val="sr-Latn-RS"/>
        </w:rPr>
        <w:t>Godišnji narativni izveštaj je pismeni izveštaj o radu udruženja u toku jedne godine. Budući da nije u pitanju zvanični dokument, na memorandumu udruženja možete opisati projekte/aktivnosti sprovedene u 2025. godini i to priložiti zajedno sa ostalom konkursnom dokumentacijom.</w:t>
      </w:r>
    </w:p>
    <w:p w14:paraId="0FC95EB5" w14:textId="77777777" w:rsidR="00A061BE" w:rsidRPr="00A061BE" w:rsidRDefault="00A061BE" w:rsidP="00A061BE">
      <w:pPr>
        <w:jc w:val="both"/>
        <w:rPr>
          <w:lang w:val="sr-Latn-RS"/>
        </w:rPr>
      </w:pPr>
      <w:r w:rsidRPr="00A061BE">
        <w:rPr>
          <w:lang w:val="sr-Latn-RS"/>
        </w:rPr>
        <w:t> </w:t>
      </w:r>
    </w:p>
    <w:p w14:paraId="3B43085E" w14:textId="77777777" w:rsidR="00A061BE" w:rsidRPr="00A061BE" w:rsidRDefault="00A061BE" w:rsidP="00A061BE">
      <w:pPr>
        <w:jc w:val="both"/>
        <w:rPr>
          <w:lang w:val="sr-Latn-RS"/>
        </w:rPr>
      </w:pPr>
      <w:r w:rsidRPr="00A061BE">
        <w:rPr>
          <w:lang w:val="sr-Latn-RS"/>
        </w:rPr>
        <w:t>20.   Da li menadžer projekta može biti iz partnerske organizacije podnosioca projekta?</w:t>
      </w:r>
    </w:p>
    <w:p w14:paraId="15A4C3FC" w14:textId="77777777" w:rsidR="00A061BE" w:rsidRPr="00A061BE" w:rsidRDefault="00A061BE" w:rsidP="00A061BE">
      <w:pPr>
        <w:jc w:val="both"/>
        <w:rPr>
          <w:lang w:val="sr-Latn-RS"/>
        </w:rPr>
      </w:pPr>
      <w:r w:rsidRPr="00A061BE">
        <w:rPr>
          <w:b/>
          <w:bCs/>
          <w:lang w:val="sr-Latn-RS"/>
        </w:rPr>
        <w:lastRenderedPageBreak/>
        <w:t>Menadžer projekta može biti iz partnerske organizacije. Važno je da osoba koja je predložena da vodi projekat poseduje profesionalne sposobnosti i kvalifikacije potrebne za uspešnu implementaciju projekta, što treba da vidi iz biografije (Aneks 10: Obrazac biografije).</w:t>
      </w:r>
    </w:p>
    <w:p w14:paraId="6CFF591C" w14:textId="77777777" w:rsidR="00A061BE" w:rsidRPr="00A061BE" w:rsidRDefault="00A061BE" w:rsidP="00A061BE">
      <w:pPr>
        <w:jc w:val="both"/>
        <w:rPr>
          <w:lang w:val="sr-Latn-RS"/>
        </w:rPr>
      </w:pPr>
      <w:r w:rsidRPr="00A061BE">
        <w:rPr>
          <w:lang w:val="sr-Latn-RS"/>
        </w:rPr>
        <w:t> </w:t>
      </w:r>
    </w:p>
    <w:p w14:paraId="1B0A7AB7" w14:textId="77777777" w:rsidR="00A061BE" w:rsidRPr="00A061BE" w:rsidRDefault="00A061BE" w:rsidP="00A061BE">
      <w:pPr>
        <w:jc w:val="both"/>
        <w:rPr>
          <w:lang w:val="sr-Latn-RS"/>
        </w:rPr>
      </w:pPr>
      <w:r w:rsidRPr="00A061BE">
        <w:rPr>
          <w:lang w:val="sr-Latn-RS"/>
        </w:rPr>
        <w:t>21.   Da li partnerska organizacija može da bude organizacija koja je registrovana van RS iako će se aktivnosti projekta, kao i ciljevi, odnositi na našu lokalnu zajednicu?</w:t>
      </w:r>
    </w:p>
    <w:p w14:paraId="7C12758D" w14:textId="77777777" w:rsidR="00A061BE" w:rsidRPr="00A061BE" w:rsidRDefault="00A061BE" w:rsidP="00A061BE">
      <w:pPr>
        <w:jc w:val="both"/>
        <w:rPr>
          <w:lang w:val="sr-Latn-RS"/>
        </w:rPr>
      </w:pPr>
      <w:r w:rsidRPr="00A061BE">
        <w:rPr>
          <w:b/>
          <w:bCs/>
          <w:lang w:val="sr-Latn-RS"/>
        </w:rPr>
        <w:t>Neophodno je da partnerska organizacija bude registrovana na teritoriji Republike Srbije, kao i aplikant. Partnerske organizacije moraju da zadovolje iste uslove kao i aplikant (videti </w:t>
      </w:r>
      <w:r w:rsidRPr="00A061BE">
        <w:rPr>
          <w:b/>
          <w:bCs/>
          <w:i/>
          <w:iCs/>
          <w:lang w:val="sr-Latn-RS"/>
        </w:rPr>
        <w:t>Smernice za podnosio predloga projekata</w:t>
      </w:r>
      <w:r w:rsidRPr="00A061BE">
        <w:rPr>
          <w:b/>
          <w:bCs/>
          <w:lang w:val="sr-Latn-RS"/>
        </w:rPr>
        <w:t>: Partnerstva i podobnost partnera).</w:t>
      </w:r>
    </w:p>
    <w:p w14:paraId="6B348F77" w14:textId="77777777" w:rsidR="00A061BE" w:rsidRPr="00A061BE" w:rsidRDefault="00A061BE" w:rsidP="00A061BE">
      <w:pPr>
        <w:jc w:val="both"/>
        <w:rPr>
          <w:lang w:val="sr-Latn-RS"/>
        </w:rPr>
      </w:pPr>
    </w:p>
    <w:p w14:paraId="5A70C223" w14:textId="77777777" w:rsidR="00A061BE" w:rsidRPr="00A061BE" w:rsidRDefault="00A061BE" w:rsidP="00A061BE">
      <w:pPr>
        <w:jc w:val="both"/>
        <w:rPr>
          <w:lang w:val="sr-Latn-RS"/>
        </w:rPr>
      </w:pPr>
    </w:p>
    <w:p w14:paraId="41F8A147" w14:textId="5ABE93AD" w:rsidR="005B3862" w:rsidRPr="00A061BE" w:rsidRDefault="005B3862" w:rsidP="005B3862">
      <w:pPr>
        <w:tabs>
          <w:tab w:val="left" w:pos="3318"/>
        </w:tabs>
        <w:rPr>
          <w:lang w:val="sr-Latn-RS"/>
        </w:rPr>
      </w:pPr>
    </w:p>
    <w:sectPr w:rsidR="005B3862" w:rsidRPr="00A061BE" w:rsidSect="002738CE">
      <w:headerReference w:type="default" r:id="rId10"/>
      <w:footerReference w:type="default" r:id="rId11"/>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2C5C" w14:textId="77777777" w:rsidR="000D260E" w:rsidRDefault="000D260E" w:rsidP="00362A35">
      <w:pPr>
        <w:spacing w:after="0" w:line="240" w:lineRule="auto"/>
      </w:pPr>
      <w:r>
        <w:separator/>
      </w:r>
    </w:p>
  </w:endnote>
  <w:endnote w:type="continuationSeparator" w:id="0">
    <w:p w14:paraId="70543994" w14:textId="77777777" w:rsidR="000D260E" w:rsidRDefault="000D260E"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4-Accent11"/>
      <w:tblW w:w="10530" w:type="dxa"/>
      <w:jc w:val="center"/>
      <w:tblBorders>
        <w:top w:val="none" w:sz="0" w:space="0" w:color="auto"/>
        <w:left w:val="none" w:sz="0" w:space="0" w:color="auto"/>
        <w:bottom w:val="none" w:sz="0" w:space="0" w:color="auto"/>
        <w:right w:val="none" w:sz="0" w:space="0" w:color="auto"/>
        <w:insideH w:val="none" w:sz="0" w:space="0" w:color="auto"/>
        <w:insideV w:val="single" w:sz="4" w:space="0" w:color="4F81BD"/>
      </w:tblBorders>
      <w:tblLook w:val="04A0" w:firstRow="1" w:lastRow="0" w:firstColumn="1" w:lastColumn="0" w:noHBand="0" w:noVBand="1"/>
    </w:tblPr>
    <w:tblGrid>
      <w:gridCol w:w="10530"/>
    </w:tblGrid>
    <w:tr w:rsidR="009D0139" w:rsidRPr="009D0139" w14:paraId="50AB7488" w14:textId="77777777" w:rsidTr="009D0139">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0530" w:type="dxa"/>
          <w:tcBorders>
            <w:top w:val="none" w:sz="0" w:space="0" w:color="auto"/>
            <w:left w:val="none" w:sz="0" w:space="0" w:color="auto"/>
            <w:bottom w:val="none" w:sz="0" w:space="0" w:color="auto"/>
            <w:right w:val="none" w:sz="0" w:space="0" w:color="auto"/>
          </w:tcBorders>
          <w:shd w:val="clear" w:color="auto" w:fill="548DD4"/>
        </w:tcPr>
        <w:p w14:paraId="5147F5BF" w14:textId="3BD3521B" w:rsidR="009D0139" w:rsidRPr="009D0139" w:rsidRDefault="009D0139" w:rsidP="009D0139">
          <w:pPr>
            <w:jc w:val="center"/>
            <w:rPr>
              <w:rFonts w:ascii="Calibri" w:eastAsia="MS Mincho" w:hAnsi="Calibri" w:cs="Calibri"/>
              <w:sz w:val="24"/>
              <w:szCs w:val="24"/>
            </w:rPr>
          </w:pPr>
          <w:r w:rsidRPr="009D0139">
            <w:rPr>
              <w:rFonts w:ascii="Calibri" w:eastAsia="MS Mincho" w:hAnsi="Calibri" w:cs="Calibri"/>
              <w:szCs w:val="24"/>
              <w:lang w:val="bs-Latn-BA"/>
            </w:rPr>
            <w:t xml:space="preserve">ReLOaD </w:t>
          </w:r>
          <w:r w:rsidR="005B3862">
            <w:rPr>
              <w:rFonts w:ascii="Calibri" w:eastAsia="MS Mincho" w:hAnsi="Calibri" w:cs="Calibri"/>
              <w:szCs w:val="24"/>
              <w:lang w:val="bs-Latn-BA"/>
            </w:rPr>
            <w:t>kancelarija u Srbiji</w:t>
          </w:r>
          <w:r w:rsidRPr="009D0139">
            <w:rPr>
              <w:rFonts w:ascii="Calibri" w:eastAsia="MS Mincho" w:hAnsi="Calibri" w:cs="Calibri"/>
              <w:szCs w:val="24"/>
            </w:rPr>
            <w:t xml:space="preserve">, UNDP </w:t>
          </w:r>
          <w:r w:rsidR="005B3862" w:rsidRPr="005B3862">
            <w:rPr>
              <w:rFonts w:ascii="Calibri" w:eastAsia="MS Mincho" w:hAnsi="Calibri" w:cs="Calibri"/>
              <w:szCs w:val="24"/>
              <w:lang w:val="sr-Latn-RS"/>
            </w:rPr>
            <w:t>Srbija</w:t>
          </w:r>
        </w:p>
      </w:tc>
    </w:tr>
    <w:tr w:rsidR="009D0139" w:rsidRPr="005B3862" w14:paraId="5C12E6B9" w14:textId="77777777" w:rsidTr="009D0139">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530" w:type="dxa"/>
          <w:shd w:val="clear" w:color="auto" w:fill="auto"/>
        </w:tcPr>
        <w:p w14:paraId="5CA25E92" w14:textId="7D479A9B" w:rsidR="009D0139" w:rsidRPr="005B3862" w:rsidRDefault="005B3862" w:rsidP="009D0139">
          <w:pPr>
            <w:jc w:val="center"/>
            <w:rPr>
              <w:rFonts w:ascii="Calibri" w:eastAsia="MS Mincho" w:hAnsi="Calibri" w:cs="Calibri"/>
              <w:color w:val="244061"/>
              <w:sz w:val="16"/>
              <w:szCs w:val="24"/>
              <w:u w:val="single"/>
            </w:rPr>
          </w:pPr>
          <w:r>
            <w:rPr>
              <w:rFonts w:ascii="Calibri" w:eastAsia="MS Mincho" w:hAnsi="Calibri" w:cs="Calibri"/>
              <w:sz w:val="16"/>
              <w:szCs w:val="24"/>
              <w:lang w:val="bs-Latn-BA"/>
            </w:rPr>
            <w:t>Bulevar Zorana Đinđića 64</w:t>
          </w:r>
          <w:r w:rsidR="009D0139" w:rsidRPr="009D0139">
            <w:rPr>
              <w:rFonts w:ascii="Calibri" w:eastAsia="MS Mincho" w:hAnsi="Calibri" w:cs="Calibri"/>
              <w:sz w:val="16"/>
              <w:szCs w:val="24"/>
              <w:lang w:val="bs-Latn-BA"/>
            </w:rPr>
            <w:t>,</w:t>
          </w:r>
          <w:r w:rsidR="009D0139" w:rsidRPr="005B3862">
            <w:rPr>
              <w:rFonts w:ascii="Calibri" w:eastAsia="MS Mincho" w:hAnsi="Calibri" w:cs="Calibri"/>
              <w:sz w:val="16"/>
              <w:szCs w:val="24"/>
            </w:rPr>
            <w:t xml:space="preserve"> </w:t>
          </w:r>
          <w:r>
            <w:rPr>
              <w:rFonts w:ascii="Calibri" w:eastAsia="MS Mincho" w:hAnsi="Calibri" w:cs="Calibri"/>
              <w:sz w:val="16"/>
              <w:szCs w:val="24"/>
            </w:rPr>
            <w:t>11070</w:t>
          </w:r>
          <w:r w:rsidR="009D0139" w:rsidRPr="005B3862">
            <w:rPr>
              <w:rFonts w:ascii="Calibri" w:eastAsia="MS Mincho" w:hAnsi="Calibri" w:cs="Calibri"/>
              <w:sz w:val="16"/>
              <w:szCs w:val="24"/>
            </w:rPr>
            <w:t xml:space="preserve"> </w:t>
          </w:r>
          <w:r>
            <w:rPr>
              <w:rFonts w:ascii="Calibri" w:eastAsia="MS Mincho" w:hAnsi="Calibri" w:cs="Calibri"/>
              <w:sz w:val="16"/>
              <w:szCs w:val="24"/>
            </w:rPr>
            <w:t>Beograd</w:t>
          </w:r>
          <w:r w:rsidR="009D0139" w:rsidRPr="005B3862">
            <w:rPr>
              <w:rFonts w:ascii="Calibri" w:eastAsia="MS Mincho" w:hAnsi="Calibri" w:cs="Calibri"/>
              <w:sz w:val="16"/>
              <w:szCs w:val="24"/>
            </w:rPr>
            <w:t>, Tel: +38</w:t>
          </w:r>
          <w:r w:rsidRPr="005B3862">
            <w:rPr>
              <w:rFonts w:ascii="Calibri" w:eastAsia="MS Mincho" w:hAnsi="Calibri" w:cs="Calibri"/>
              <w:sz w:val="16"/>
              <w:szCs w:val="24"/>
            </w:rPr>
            <w:t>1</w:t>
          </w:r>
          <w:r w:rsidR="009D0139" w:rsidRPr="005B3862">
            <w:rPr>
              <w:rFonts w:ascii="Calibri" w:eastAsia="MS Mincho" w:hAnsi="Calibri" w:cs="Calibri"/>
              <w:sz w:val="16"/>
              <w:szCs w:val="24"/>
            </w:rPr>
            <w:t xml:space="preserve"> </w:t>
          </w:r>
          <w:r w:rsidRPr="005B3862">
            <w:rPr>
              <w:rFonts w:ascii="Calibri" w:eastAsia="MS Mincho" w:hAnsi="Calibri" w:cs="Calibri"/>
              <w:sz w:val="16"/>
              <w:szCs w:val="24"/>
            </w:rPr>
            <w:t>11 415 5300</w:t>
          </w:r>
          <w:r>
            <w:rPr>
              <w:rFonts w:ascii="Calibri" w:eastAsia="MS Mincho" w:hAnsi="Calibri" w:cs="Calibri"/>
              <w:sz w:val="16"/>
              <w:szCs w:val="24"/>
            </w:rPr>
            <w:t>,</w:t>
          </w:r>
          <w:r w:rsidR="009D0139" w:rsidRPr="005B3862">
            <w:rPr>
              <w:rFonts w:ascii="Calibri" w:eastAsia="MS Mincho" w:hAnsi="Calibri" w:cs="Calibri"/>
              <w:sz w:val="16"/>
              <w:szCs w:val="24"/>
            </w:rPr>
            <w:t xml:space="preserve"> URL: </w:t>
          </w:r>
          <w:hyperlink r:id="rId1" w:history="1">
            <w:r w:rsidRPr="002738CE">
              <w:rPr>
                <w:rFonts w:ascii="Calibri" w:hAnsi="Calibri" w:cs="Calibri"/>
                <w:color w:val="0000FF"/>
                <w:sz w:val="16"/>
                <w:szCs w:val="16"/>
                <w:u w:val="single"/>
              </w:rPr>
              <w:t>www.undp.org</w:t>
            </w:r>
          </w:hyperlink>
          <w:r w:rsidRPr="002738CE">
            <w:rPr>
              <w:rFonts w:ascii="Calibri" w:eastAsia="MS Mincho" w:hAnsi="Calibri" w:cs="Calibri"/>
              <w:color w:val="0000FF"/>
              <w:sz w:val="16"/>
              <w:szCs w:val="16"/>
              <w:u w:val="single"/>
            </w:rPr>
            <w:t>/serbia</w:t>
          </w:r>
          <w:r>
            <w:rPr>
              <w:rFonts w:ascii="Calibri" w:eastAsia="MS Mincho" w:hAnsi="Calibri" w:cs="Calibri"/>
              <w:color w:val="0000FF"/>
              <w:sz w:val="16"/>
              <w:szCs w:val="24"/>
              <w:u w:val="single"/>
            </w:rPr>
            <w:t xml:space="preserve"> </w:t>
          </w:r>
        </w:p>
      </w:tc>
    </w:tr>
  </w:tbl>
  <w:p w14:paraId="0B723482" w14:textId="77777777" w:rsidR="009D0139" w:rsidRPr="005B3862" w:rsidRDefault="009D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5F40" w14:textId="77777777" w:rsidR="000D260E" w:rsidRDefault="000D260E" w:rsidP="00362A35">
      <w:pPr>
        <w:spacing w:after="0" w:line="240" w:lineRule="auto"/>
      </w:pPr>
      <w:r>
        <w:separator/>
      </w:r>
    </w:p>
  </w:footnote>
  <w:footnote w:type="continuationSeparator" w:id="0">
    <w:p w14:paraId="27679823" w14:textId="77777777" w:rsidR="000D260E" w:rsidRDefault="000D260E" w:rsidP="0036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0BD6" w14:textId="21AD491E" w:rsidR="00097676" w:rsidRPr="00097676" w:rsidRDefault="00097676" w:rsidP="00097676">
    <w:pPr>
      <w:spacing w:before="100" w:beforeAutospacing="1" w:after="100" w:afterAutospacing="1" w:line="240" w:lineRule="auto"/>
      <w:rPr>
        <w:rFonts w:ascii="Times New Roman" w:eastAsia="Times New Roman" w:hAnsi="Times New Roman" w:cs="Times New Roman"/>
        <w:sz w:val="24"/>
        <w:szCs w:val="24"/>
      </w:rPr>
    </w:pPr>
    <w:r w:rsidRPr="00097676">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0689F9B3" wp14:editId="372B6D22">
          <wp:simplePos x="0" y="0"/>
          <wp:positionH relativeFrom="column">
            <wp:posOffset>-516890</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52138071" name="Picture 521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C60F133" w:rsidR="00362A35" w:rsidRDefault="00981CC8">
    <w:pPr>
      <w:pStyle w:val="Header"/>
    </w:pPr>
    <w:r>
      <w:rPr>
        <w:noProof/>
      </w:rPr>
      <w:drawing>
        <wp:anchor distT="0" distB="0" distL="114300" distR="114300" simplePos="0" relativeHeight="251671552" behindDoc="0" locked="0" layoutInCell="1" allowOverlap="1" wp14:anchorId="65C4DF8C" wp14:editId="04DA7EE1">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530636942" name="Picture 1530636942"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43D">
      <w:rPr>
        <w:noProof/>
      </w:rPr>
      <mc:AlternateContent>
        <mc:Choice Requires="wps">
          <w:drawing>
            <wp:anchor distT="0" distB="0" distL="114300" distR="114300" simplePos="0" relativeHeight="251651072" behindDoc="0" locked="0" layoutInCell="1" allowOverlap="1" wp14:anchorId="3965C1C1" wp14:editId="55D53EC6">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8DC36E6" w14:textId="3F3CA541" w:rsidR="00362A35" w:rsidRPr="00053876" w:rsidRDefault="00362A35" w:rsidP="00362A35">
                          <w:pPr>
                            <w:pStyle w:val="NormalWeb"/>
                            <w:spacing w:before="0" w:beforeAutospacing="0" w:after="0" w:afterAutospacing="0"/>
                            <w:jc w:val="center"/>
                            <w:rPr>
                              <w:rFonts w:ascii="Calibri" w:hAnsi="Calibri" w:cs="Calibri"/>
                              <w:sz w:val="28"/>
                              <w:szCs w:val="28"/>
                              <w:lang w:val="bs-Latn-BA"/>
                            </w:rPr>
                          </w:pPr>
                          <w:r w:rsidRPr="00053876">
                            <w:rPr>
                              <w:rFonts w:ascii="Calibri" w:hAnsi="Calibri" w:cs="Calibri"/>
                              <w:b/>
                              <w:bCs/>
                              <w:color w:val="000000" w:themeColor="text1"/>
                              <w:kern w:val="24"/>
                              <w:sz w:val="28"/>
                              <w:szCs w:val="28"/>
                              <w:lang w:val="bs-Latn-BA"/>
                            </w:rPr>
                            <w:t>Regional</w:t>
                          </w:r>
                          <w:r w:rsidR="00053876">
                            <w:rPr>
                              <w:rFonts w:ascii="Calibri" w:hAnsi="Calibri" w:cs="Calibri"/>
                              <w:b/>
                              <w:bCs/>
                              <w:color w:val="000000" w:themeColor="text1"/>
                              <w:kern w:val="24"/>
                              <w:sz w:val="28"/>
                              <w:szCs w:val="28"/>
                              <w:lang w:val="bs-Latn-BA"/>
                            </w:rPr>
                            <w:t>ni</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program</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lokalne demokratije na Zapadnom Balkanu</w:t>
                          </w:r>
                          <w:r w:rsidRPr="00053876">
                            <w:rPr>
                              <w:rFonts w:ascii="Calibri" w:hAnsi="Calibri" w:cs="Calibri"/>
                              <w:b/>
                              <w:bCs/>
                              <w:color w:val="000000" w:themeColor="text1"/>
                              <w:kern w:val="24"/>
                              <w:sz w:val="28"/>
                              <w:szCs w:val="28"/>
                              <w:lang w:val="bs-Latn-BA"/>
                            </w:rPr>
                            <w:t xml:space="preserve"> 3</w:t>
                          </w:r>
                        </w:p>
                        <w:p w14:paraId="4333007A" w14:textId="77777777" w:rsidR="00362A35" w:rsidRPr="00053876" w:rsidRDefault="00362A35" w:rsidP="00362A35">
                          <w:pPr>
                            <w:pStyle w:val="NormalWeb"/>
                            <w:spacing w:before="0" w:beforeAutospacing="0" w:after="0" w:afterAutospacing="0"/>
                            <w:jc w:val="center"/>
                            <w:rPr>
                              <w:rFonts w:ascii="Calibri" w:hAnsi="Calibri" w:cs="Calibri"/>
                              <w:sz w:val="32"/>
                              <w:szCs w:val="28"/>
                              <w:lang w:val="bs-Latn-BA"/>
                            </w:rPr>
                          </w:pPr>
                          <w:r w:rsidRPr="00053876">
                            <w:rPr>
                              <w:rFonts w:ascii="Calibri" w:hAnsi="Calibri" w:cs="Calibri"/>
                              <w:b/>
                              <w:bCs/>
                              <w:color w:val="000000" w:themeColor="text1"/>
                              <w:kern w:val="24"/>
                              <w:sz w:val="32"/>
                              <w:szCs w:val="28"/>
                              <w:lang w:val="bs-Latn-BA"/>
                            </w:rPr>
                            <w:t>ReLOaD3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965C1C1"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tp+AEAAM0DAAAOAAAAZHJzL2Uyb0RvYy54bWysU11v2yAUfZ+0/4B4X+xE9pJacaquXadJ&#10;3YfU7QdgjGM04DIgsbNfvwt202h9q+YHxPWFc+8597C9HrUiR+G8BFPT5SKnRBgOrTT7mv78cf9u&#10;Q4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" filled="f" stroked="f">
              <v:textbox>
                <w:txbxContent>
                  <w:p w14:paraId="48DC36E6" w14:textId="3F3CA541" w:rsidR="00362A35" w:rsidRPr="00053876" w:rsidRDefault="00362A35" w:rsidP="00362A35">
                    <w:pPr>
                      <w:pStyle w:val="NormalWeb"/>
                      <w:spacing w:before="0" w:beforeAutospacing="0" w:after="0" w:afterAutospacing="0"/>
                      <w:jc w:val="center"/>
                      <w:rPr>
                        <w:rFonts w:ascii="Calibri" w:hAnsi="Calibri" w:cs="Calibri"/>
                        <w:sz w:val="28"/>
                        <w:szCs w:val="28"/>
                        <w:lang w:val="bs-Latn-BA"/>
                      </w:rPr>
                    </w:pPr>
                    <w:r w:rsidRPr="00053876">
                      <w:rPr>
                        <w:rFonts w:ascii="Calibri" w:hAnsi="Calibri" w:cs="Calibri"/>
                        <w:b/>
                        <w:bCs/>
                        <w:color w:val="000000" w:themeColor="text1"/>
                        <w:kern w:val="24"/>
                        <w:sz w:val="28"/>
                        <w:szCs w:val="28"/>
                        <w:lang w:val="bs-Latn-BA"/>
                      </w:rPr>
                      <w:t>Regional</w:t>
                    </w:r>
                    <w:r w:rsidR="00053876">
                      <w:rPr>
                        <w:rFonts w:ascii="Calibri" w:hAnsi="Calibri" w:cs="Calibri"/>
                        <w:b/>
                        <w:bCs/>
                        <w:color w:val="000000" w:themeColor="text1"/>
                        <w:kern w:val="24"/>
                        <w:sz w:val="28"/>
                        <w:szCs w:val="28"/>
                        <w:lang w:val="bs-Latn-BA"/>
                      </w:rPr>
                      <w:t>ni</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program</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lokalne demokratije na Zapadnom Balkanu</w:t>
                    </w:r>
                    <w:r w:rsidRPr="00053876">
                      <w:rPr>
                        <w:rFonts w:ascii="Calibri" w:hAnsi="Calibri" w:cs="Calibri"/>
                        <w:b/>
                        <w:bCs/>
                        <w:color w:val="000000" w:themeColor="text1"/>
                        <w:kern w:val="24"/>
                        <w:sz w:val="28"/>
                        <w:szCs w:val="28"/>
                        <w:lang w:val="bs-Latn-BA"/>
                      </w:rPr>
                      <w:t xml:space="preserve"> 3</w:t>
                    </w:r>
                  </w:p>
                  <w:p w14:paraId="4333007A" w14:textId="77777777" w:rsidR="00362A35" w:rsidRPr="00053876" w:rsidRDefault="00362A35" w:rsidP="00362A35">
                    <w:pPr>
                      <w:pStyle w:val="NormalWeb"/>
                      <w:spacing w:before="0" w:beforeAutospacing="0" w:after="0" w:afterAutospacing="0"/>
                      <w:jc w:val="center"/>
                      <w:rPr>
                        <w:rFonts w:ascii="Calibri" w:hAnsi="Calibri" w:cs="Calibri"/>
                        <w:sz w:val="32"/>
                        <w:szCs w:val="28"/>
                        <w:lang w:val="bs-Latn-BA"/>
                      </w:rPr>
                    </w:pPr>
                    <w:r w:rsidRPr="00053876">
                      <w:rPr>
                        <w:rFonts w:ascii="Calibri" w:hAnsi="Calibri" w:cs="Calibri"/>
                        <w:b/>
                        <w:bCs/>
                        <w:color w:val="000000" w:themeColor="text1"/>
                        <w:kern w:val="24"/>
                        <w:sz w:val="32"/>
                        <w:szCs w:val="28"/>
                        <w:lang w:val="bs-Latn-BA"/>
                      </w:rPr>
                      <w:t>ReLOaD3</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35"/>
    <w:rsid w:val="00010E52"/>
    <w:rsid w:val="00044536"/>
    <w:rsid w:val="00053876"/>
    <w:rsid w:val="00097676"/>
    <w:rsid w:val="000D260E"/>
    <w:rsid w:val="001B2027"/>
    <w:rsid w:val="002738CE"/>
    <w:rsid w:val="00285E73"/>
    <w:rsid w:val="002B23D4"/>
    <w:rsid w:val="002B70CA"/>
    <w:rsid w:val="002D743D"/>
    <w:rsid w:val="00362A35"/>
    <w:rsid w:val="005B3862"/>
    <w:rsid w:val="0060645C"/>
    <w:rsid w:val="00772A18"/>
    <w:rsid w:val="008728A0"/>
    <w:rsid w:val="00981CC8"/>
    <w:rsid w:val="009D0139"/>
    <w:rsid w:val="00A061BE"/>
    <w:rsid w:val="00A25FF1"/>
    <w:rsid w:val="00B06D85"/>
    <w:rsid w:val="00BC1C61"/>
    <w:rsid w:val="00C65A71"/>
    <w:rsid w:val="00CE2C25"/>
    <w:rsid w:val="00DF6CD0"/>
    <w:rsid w:val="00E06586"/>
    <w:rsid w:val="00F157D4"/>
    <w:rsid w:val="00F61518"/>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35"/>
  </w:style>
  <w:style w:type="paragraph" w:styleId="Footer">
    <w:name w:val="footer"/>
    <w:basedOn w:val="Normal"/>
    <w:link w:val="FooterChar"/>
    <w:uiPriority w:val="99"/>
    <w:unhideWhenUsed/>
    <w:rsid w:val="0036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35"/>
  </w:style>
  <w:style w:type="paragraph" w:styleId="Normal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9D013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B3862"/>
    <w:rPr>
      <w:color w:val="0563C1" w:themeColor="hyperlink"/>
      <w:u w:val="single"/>
    </w:rPr>
  </w:style>
  <w:style w:type="character" w:styleId="UnresolvedMention">
    <w:name w:val="Unresolved Mention"/>
    <w:basedOn w:val="DefaultParagraphFont"/>
    <w:uiPriority w:val="99"/>
    <w:semiHidden/>
    <w:unhideWhenUsed/>
    <w:rsid w:val="005B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12D6DDF2E4A45A579DED1069D591B" ma:contentTypeVersion="11" ma:contentTypeDescription="Create a new document." ma:contentTypeScope="" ma:versionID="b525223acc59075532729d4f21005f88">
  <xsd:schema xmlns:xsd="http://www.w3.org/2001/XMLSchema" xmlns:xs="http://www.w3.org/2001/XMLSchema" xmlns:p="http://schemas.microsoft.com/office/2006/metadata/properties" xmlns:ns2="de777af5-75c5-4059-8842-b3ca2d118c77" xmlns:ns3="34ba1936-778b-4d9a-afba-211e1335834b" targetNamespace="http://schemas.microsoft.com/office/2006/metadata/properties" ma:root="true" ma:fieldsID="ae7ee9dfb4277536d01e32034cf99bcb" ns2:_="" ns3:_="">
    <xsd:import namespace="de777af5-75c5-4059-8842-b3ca2d118c77"/>
    <xsd:import namespace="34ba1936-778b-4d9a-afba-211e133583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a1936-778b-4d9a-afba-211e133583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32JKWRRJAUXM-190900528-1295</_dlc_DocId>
    <_dlc_DocIdUrl xmlns="de777af5-75c5-4059-8842-b3ca2d118c77">
      <Url>https://undp.sharepoint.com/teams/BIH/ReLOAD3/_layouts/15/DocIdRedir.aspx?ID=32JKWRRJAUXM-190900528-1295</Url>
      <Description>32JKWRRJAUXM-190900528-1295</Description>
    </_dlc_DocIdUrl>
    <lcf76f155ced4ddcb4097134ff3c332f xmlns="34ba1936-778b-4d9a-afba-211e13358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AA9B02-5B20-4B63-9726-D48E6659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34ba1936-778b-4d9a-afba-211e1335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34ba1936-778b-4d9a-afba-211e1335834b"/>
  </ds:schemaRefs>
</ds:datastoreItem>
</file>

<file path=customXml/itemProps3.xml><?xml version="1.0" encoding="utf-8"?>
<ds:datastoreItem xmlns:ds="http://schemas.openxmlformats.org/officeDocument/2006/customXml" ds:itemID="{35ED4D1D-360C-4A37-BAC7-0F04F153D580}">
  <ds:schemaRefs>
    <ds:schemaRef ds:uri="http://schemas.microsoft.com/sharepoint/v3/contenttype/forms"/>
  </ds:schemaRefs>
</ds:datastoreItem>
</file>

<file path=customXml/itemProps4.xml><?xml version="1.0" encoding="utf-8"?>
<ds:datastoreItem xmlns:ds="http://schemas.openxmlformats.org/officeDocument/2006/customXml" ds:itemID="{D7E554CC-7715-425D-B255-5B5A965472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Nenad Petkovic</cp:lastModifiedBy>
  <cp:revision>2</cp:revision>
  <dcterms:created xsi:type="dcterms:W3CDTF">2026-05-11T09:29:00Z</dcterms:created>
  <dcterms:modified xsi:type="dcterms:W3CDTF">2026-05-11T09:29:00Z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0x010100DA912D6DDF2E4A45A579DED1069D591B</vt:lpwstr>
  </property>
  <property fmtid="{D5CDD505-2E9C-101B-9397-08002B2CF9AE}" pid="3" name="_dlc_DocIdItemGuid">
    <vt:lpwstr>046e5a93-88a5-48e3-bb8f-61630d97971f</vt:lpwstr>
  </property>
  <property fmtid="{D5CDD505-2E9C-101B-9397-08002B2CF9AE}" pid="4" name="MediaServiceImageTags">
    <vt:lpwstr/>
  </property>
</Properties>
</file>