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B57DF3">
      <w:r w:rsidRPr="00CA5A74">
        <w:t>ОПИС И СПЕЦИФИКАЦИЈА</w:t>
      </w:r>
      <w:r w:rsidR="00662EE2">
        <w:t xml:space="preserve"> </w:t>
      </w:r>
      <w:bookmarkStart w:id="0" w:name="_GoBack"/>
      <w:bookmarkEnd w:id="0"/>
      <w:r w:rsidRPr="00CA5A74"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57DF3" w:rsidRDefault="00B57DF3" w:rsidP="00B57DF3">
      <w:pPr>
        <w:ind w:right="27"/>
        <w:rPr>
          <w:u w:val="single"/>
          <w:lang w:val="sr-Cyrl-RS"/>
        </w:rPr>
      </w:pPr>
      <w:proofErr w:type="spellStart"/>
      <w:r>
        <w:rPr>
          <w:u w:val="single"/>
        </w:rPr>
        <w:t>Техничк</w:t>
      </w:r>
      <w:proofErr w:type="spellEnd"/>
      <w:r>
        <w:rPr>
          <w:u w:val="single"/>
          <w:lang w:val="sr-Cyrl-RS"/>
        </w:rPr>
        <w:t>е карактеристике:</w:t>
      </w:r>
    </w:p>
    <w:p w:rsidR="00805900" w:rsidRDefault="00805900" w:rsidP="00805900">
      <w:pPr>
        <w:jc w:val="center"/>
        <w:rPr>
          <w:b/>
          <w:lang w:val="sr-Latn-CS"/>
        </w:rPr>
      </w:pPr>
    </w:p>
    <w:p w:rsidR="00805900" w:rsidRDefault="00805900" w:rsidP="00805900">
      <w:pPr>
        <w:rPr>
          <w:b/>
          <w:i/>
          <w:sz w:val="22"/>
          <w:szCs w:val="22"/>
          <w:u w:val="single"/>
          <w:lang w:val="sr-Latn-CS"/>
        </w:rPr>
      </w:pPr>
      <w:r>
        <w:rPr>
          <w:b/>
          <w:i/>
          <w:sz w:val="22"/>
          <w:szCs w:val="22"/>
          <w:u w:val="single"/>
          <w:lang w:val="sr-Latn-CS"/>
        </w:rPr>
        <w:t>TIP VOZILA</w:t>
      </w:r>
    </w:p>
    <w:p w:rsidR="00805900" w:rsidRDefault="00805900" w:rsidP="00805900">
      <w:pPr>
        <w:rPr>
          <w:b/>
          <w:i/>
          <w:sz w:val="16"/>
          <w:szCs w:val="16"/>
          <w:u w:val="single"/>
          <w:lang w:val="sr-Latn-CS"/>
        </w:rPr>
      </w:pPr>
    </w:p>
    <w:p w:rsidR="00805900" w:rsidRDefault="00805900" w:rsidP="00805900">
      <w:pPr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Putničko</w:t>
      </w:r>
    </w:p>
    <w:p w:rsidR="00805900" w:rsidRDefault="00805900" w:rsidP="00805900">
      <w:pPr>
        <w:rPr>
          <w:b/>
          <w:i/>
          <w:sz w:val="16"/>
          <w:szCs w:val="16"/>
          <w:u w:val="single"/>
          <w:lang w:val="sr-Latn-CS"/>
        </w:rPr>
      </w:pPr>
    </w:p>
    <w:p w:rsidR="00805900" w:rsidRDefault="00805900" w:rsidP="00805900">
      <w:pPr>
        <w:rPr>
          <w:b/>
          <w:i/>
          <w:sz w:val="22"/>
          <w:szCs w:val="22"/>
          <w:u w:val="single"/>
          <w:lang w:val="sr-Latn-CS"/>
        </w:rPr>
      </w:pPr>
      <w:r>
        <w:rPr>
          <w:b/>
          <w:i/>
          <w:sz w:val="22"/>
          <w:szCs w:val="22"/>
          <w:u w:val="single"/>
          <w:lang w:val="sr-Latn-CS"/>
        </w:rPr>
        <w:t>MOTOR</w:t>
      </w:r>
    </w:p>
    <w:p w:rsidR="00805900" w:rsidRDefault="00805900" w:rsidP="00805900">
      <w:pPr>
        <w:rPr>
          <w:b/>
          <w:i/>
          <w:sz w:val="16"/>
          <w:szCs w:val="16"/>
          <w:u w:val="single"/>
          <w:lang w:val="sr-Latn-CS"/>
        </w:rPr>
      </w:pP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Broj cilindra</w:t>
      </w:r>
      <w:r>
        <w:rPr>
          <w:sz w:val="22"/>
          <w:szCs w:val="22"/>
          <w:lang w:val="sr-Latn-CS"/>
        </w:rPr>
        <w:tab/>
        <w:t>4 u liniji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Zapremina motora (cm3)</w:t>
      </w:r>
      <w:r>
        <w:rPr>
          <w:sz w:val="22"/>
          <w:szCs w:val="22"/>
          <w:lang w:val="sr-Latn-CS"/>
        </w:rPr>
        <w:tab/>
        <w:t xml:space="preserve">od 1300 do 1400 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Snaga motora KW (KS)</w:t>
      </w:r>
      <w:r>
        <w:rPr>
          <w:sz w:val="22"/>
          <w:szCs w:val="22"/>
          <w:lang w:val="sr-Latn-CS"/>
        </w:rPr>
        <w:tab/>
        <w:t>Max 70 (95)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Eko standard                                                                       Min EURO 6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Pogonsko gorivo</w:t>
      </w:r>
      <w:r>
        <w:rPr>
          <w:sz w:val="22"/>
          <w:szCs w:val="22"/>
          <w:lang w:val="sr-Latn-CS"/>
        </w:rPr>
        <w:tab/>
        <w:t xml:space="preserve"> Bezolovni benzin</w:t>
      </w:r>
    </w:p>
    <w:p w:rsidR="00805900" w:rsidRDefault="00805900" w:rsidP="00805900">
      <w:pPr>
        <w:rPr>
          <w:b/>
          <w:i/>
          <w:sz w:val="16"/>
          <w:szCs w:val="16"/>
          <w:u w:val="single"/>
          <w:lang w:val="sr-Latn-CS"/>
        </w:rPr>
      </w:pPr>
    </w:p>
    <w:p w:rsidR="00805900" w:rsidRDefault="00805900" w:rsidP="00805900">
      <w:pPr>
        <w:rPr>
          <w:i/>
          <w:sz w:val="22"/>
          <w:szCs w:val="22"/>
          <w:u w:val="single"/>
          <w:lang w:val="sr-Latn-CS"/>
        </w:rPr>
      </w:pPr>
      <w:r>
        <w:rPr>
          <w:b/>
          <w:i/>
          <w:sz w:val="22"/>
          <w:szCs w:val="22"/>
          <w:u w:val="single"/>
          <w:lang w:val="sr-Latn-CS"/>
        </w:rPr>
        <w:t>TRANSMISIJA</w:t>
      </w:r>
    </w:p>
    <w:p w:rsidR="00805900" w:rsidRDefault="00805900" w:rsidP="00805900">
      <w:pPr>
        <w:ind w:left="5040" w:hanging="5040"/>
        <w:rPr>
          <w:sz w:val="16"/>
          <w:szCs w:val="16"/>
          <w:lang w:val="sr-Latn-CS"/>
        </w:rPr>
      </w:pP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Pogon</w:t>
      </w:r>
      <w:r>
        <w:rPr>
          <w:sz w:val="22"/>
          <w:szCs w:val="22"/>
          <w:lang w:val="sr-Latn-CS"/>
        </w:rPr>
        <w:tab/>
        <w:t>Prednji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Menjač</w:t>
      </w:r>
      <w:r>
        <w:rPr>
          <w:sz w:val="22"/>
          <w:szCs w:val="22"/>
          <w:lang w:val="sr-Latn-CS"/>
        </w:rPr>
        <w:tab/>
        <w:t>Min 6+R</w:t>
      </w:r>
    </w:p>
    <w:p w:rsidR="00805900" w:rsidRDefault="00805900" w:rsidP="00805900">
      <w:pPr>
        <w:ind w:left="5040" w:hanging="5040"/>
        <w:rPr>
          <w:sz w:val="16"/>
          <w:szCs w:val="16"/>
          <w:lang w:val="sr-Latn-CS"/>
        </w:rPr>
      </w:pPr>
    </w:p>
    <w:p w:rsidR="00805900" w:rsidRDefault="00805900" w:rsidP="00805900">
      <w:pPr>
        <w:ind w:left="5040" w:hanging="5040"/>
        <w:rPr>
          <w:b/>
          <w:i/>
          <w:sz w:val="22"/>
          <w:szCs w:val="22"/>
          <w:u w:val="single"/>
          <w:lang w:val="sr-Latn-CS"/>
        </w:rPr>
      </w:pPr>
      <w:r>
        <w:rPr>
          <w:b/>
          <w:i/>
          <w:sz w:val="22"/>
          <w:szCs w:val="22"/>
          <w:u w:val="single"/>
          <w:lang w:val="sr-Latn-CS"/>
        </w:rPr>
        <w:t>DIMENZIJE</w:t>
      </w:r>
    </w:p>
    <w:p w:rsidR="00805900" w:rsidRDefault="00805900" w:rsidP="00805900">
      <w:pPr>
        <w:ind w:left="5040" w:hanging="5040"/>
        <w:rPr>
          <w:sz w:val="16"/>
          <w:szCs w:val="16"/>
          <w:lang w:val="sr-Latn-CS"/>
        </w:rPr>
      </w:pP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Dužina</w:t>
      </w:r>
      <w:r>
        <w:rPr>
          <w:sz w:val="22"/>
          <w:szCs w:val="22"/>
          <w:lang w:val="sr-Latn-CS"/>
        </w:rPr>
        <w:tab/>
        <w:t>od 4500 do 4700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Visina</w:t>
      </w:r>
      <w:r>
        <w:rPr>
          <w:sz w:val="22"/>
          <w:szCs w:val="22"/>
          <w:lang w:val="sr-Latn-CS"/>
        </w:rPr>
        <w:tab/>
        <w:t>od 1400 do 1500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Sirina</w:t>
      </w:r>
      <w:r>
        <w:rPr>
          <w:sz w:val="22"/>
          <w:szCs w:val="22"/>
          <w:lang w:val="sr-Latn-CS"/>
        </w:rPr>
        <w:tab/>
        <w:t>od 1700 do 1800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Medjuosovinsko rastojanje</w:t>
      </w:r>
      <w:r>
        <w:rPr>
          <w:sz w:val="22"/>
          <w:szCs w:val="22"/>
          <w:lang w:val="sr-Latn-CS"/>
        </w:rPr>
        <w:tab/>
        <w:t>od 2600 do 2650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Zapremina prtljažnika</w:t>
      </w:r>
      <w:r>
        <w:rPr>
          <w:sz w:val="22"/>
          <w:szCs w:val="22"/>
          <w:lang w:val="sr-Latn-CS"/>
        </w:rPr>
        <w:tab/>
        <w:t>Min 500 litara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dimenzije pneumatika</w:t>
      </w:r>
      <w:r>
        <w:rPr>
          <w:sz w:val="22"/>
          <w:szCs w:val="22"/>
          <w:lang w:val="sr-Latn-CS"/>
        </w:rPr>
        <w:tab/>
        <w:t>min R16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broj vrata</w:t>
      </w:r>
      <w:r>
        <w:rPr>
          <w:sz w:val="22"/>
          <w:szCs w:val="22"/>
          <w:lang w:val="sr-Latn-CS"/>
        </w:rPr>
        <w:tab/>
        <w:t>4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broj sedišta</w:t>
      </w:r>
      <w:r>
        <w:rPr>
          <w:sz w:val="22"/>
          <w:szCs w:val="22"/>
          <w:lang w:val="sr-Latn-CS"/>
        </w:rPr>
        <w:tab/>
        <w:t>5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</w:p>
    <w:p w:rsidR="00805900" w:rsidRDefault="00805900" w:rsidP="00805900">
      <w:pPr>
        <w:rPr>
          <w:sz w:val="16"/>
          <w:szCs w:val="16"/>
          <w:lang w:val="sr-Latn-CS"/>
        </w:rPr>
      </w:pPr>
    </w:p>
    <w:p w:rsidR="00805900" w:rsidRDefault="00805900" w:rsidP="00805900">
      <w:pPr>
        <w:rPr>
          <w:b/>
          <w:i/>
          <w:sz w:val="22"/>
          <w:szCs w:val="22"/>
          <w:u w:val="single"/>
          <w:lang w:val="sr-Latn-CS"/>
        </w:rPr>
      </w:pPr>
      <w:r>
        <w:rPr>
          <w:b/>
          <w:i/>
          <w:sz w:val="22"/>
          <w:szCs w:val="22"/>
          <w:u w:val="single"/>
          <w:lang w:val="sr-Latn-CS"/>
        </w:rPr>
        <w:t>OPREMA:</w:t>
      </w:r>
    </w:p>
    <w:p w:rsidR="00805900" w:rsidRDefault="00805900" w:rsidP="00805900">
      <w:pPr>
        <w:rPr>
          <w:b/>
          <w:i/>
          <w:sz w:val="22"/>
          <w:szCs w:val="22"/>
          <w:u w:val="single"/>
          <w:lang w:val="sr-Latn-CS"/>
        </w:rPr>
      </w:pP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Daljinsko otkljucavanje / zakljucavanje vrata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Senzor merenja spoljne temperature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ABS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ESP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Grejac zadnjeg stakla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Vazdušni jastuci za vozaca i suvozaca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Deljiva zadnja klupa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Bocni vazdušni jastuci + vazdušni jastuci za glavu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Tri naslona za glavu pozadi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Limitator brzine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Branici u boji vozila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Senzor za nevezivanje pojasa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Celicne felne 16"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TPMS - Senzor za pritisak u pneumaticima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Elektro servo volan sa funkcijom podešavanja volana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Uticnica 12V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Manuelni klima uređaj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lastRenderedPageBreak/>
        <w:t>3,5" TFT Displej - putni racunar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Svetla za maglu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Kožni volan i ručica menjača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Zadnji parking senzori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Radio uređaj  sa Bluetooth-om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Bluetooth kontrole na volanu za Radio uređaj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Tempomat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Prednji naslon za ruku</w:t>
      </w:r>
    </w:p>
    <w:p w:rsidR="00805900" w:rsidRDefault="00805900" w:rsidP="00805900">
      <w:pPr>
        <w:ind w:left="5040" w:hanging="504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Sedište vozaca podesivo po visini</w:t>
      </w:r>
    </w:p>
    <w:p w:rsidR="00B57DF3" w:rsidRDefault="00B57DF3" w:rsidP="00B57DF3">
      <w:pPr>
        <w:ind w:left="5040" w:hanging="5040"/>
        <w:rPr>
          <w:b/>
          <w:i/>
          <w:u w:val="single"/>
          <w:lang w:val="sr-Cyrl-RS"/>
        </w:rPr>
      </w:pPr>
    </w:p>
    <w:p w:rsidR="00B57DF3" w:rsidRDefault="00B57DF3" w:rsidP="0027044C">
      <w:pPr>
        <w:widowControl w:val="0"/>
        <w:tabs>
          <w:tab w:val="left" w:pos="720"/>
        </w:tabs>
        <w:suppressAutoHyphens/>
        <w:jc w:val="both"/>
      </w:pPr>
      <w:proofErr w:type="spellStart"/>
      <w:proofErr w:type="gramStart"/>
      <w:r>
        <w:t>Понуђач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потпуно</w:t>
      </w:r>
      <w:proofErr w:type="spellEnd"/>
      <w:r>
        <w:t xml:space="preserve"> </w:t>
      </w:r>
      <w:proofErr w:type="spellStart"/>
      <w:r>
        <w:t>ново</w:t>
      </w:r>
      <w:proofErr w:type="spellEnd"/>
      <w:r>
        <w:t xml:space="preserve"> </w:t>
      </w:r>
      <w:proofErr w:type="spellStart"/>
      <w:r>
        <w:t>путничко</w:t>
      </w:r>
      <w:proofErr w:type="spellEnd"/>
      <w:r>
        <w:t xml:space="preserve"> </w:t>
      </w:r>
      <w:proofErr w:type="spellStart"/>
      <w:r>
        <w:t>возило</w:t>
      </w:r>
      <w:proofErr w:type="spellEnd"/>
      <w:r>
        <w:rPr>
          <w:color w:val="FF0000"/>
          <w:lang w:val="sr-Cyrl-RS"/>
        </w:rPr>
        <w:t>.</w:t>
      </w:r>
      <w:proofErr w:type="gramEnd"/>
      <w:r>
        <w:rPr>
          <w:color w:val="FF0000"/>
          <w:lang w:val="sr-Cyrl-RS"/>
        </w:rPr>
        <w:t xml:space="preserve"> </w:t>
      </w:r>
      <w:proofErr w:type="spellStart"/>
      <w:proofErr w:type="gramStart"/>
      <w:r>
        <w:t>Под</w:t>
      </w:r>
      <w:proofErr w:type="spellEnd"/>
      <w:r>
        <w:t xml:space="preserve">  </w:t>
      </w:r>
      <w:proofErr w:type="spellStart"/>
      <w:r>
        <w:t>термином</w:t>
      </w:r>
      <w:proofErr w:type="spellEnd"/>
      <w:proofErr w:type="gramEnd"/>
      <w:r>
        <w:t xml:space="preserve"> „</w:t>
      </w:r>
      <w:proofErr w:type="spellStart"/>
      <w:r>
        <w:t>ново</w:t>
      </w:r>
      <w:proofErr w:type="spellEnd"/>
      <w:r>
        <w:t xml:space="preserve"> </w:t>
      </w:r>
      <w:proofErr w:type="spellStart"/>
      <w:r>
        <w:t>возило</w:t>
      </w:r>
      <w:proofErr w:type="spellEnd"/>
      <w:r>
        <w:t xml:space="preserve">“ </w:t>
      </w:r>
      <w:proofErr w:type="spellStart"/>
      <w:r>
        <w:t>подразумева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некоришћено</w:t>
      </w:r>
      <w:proofErr w:type="spellEnd"/>
      <w:r>
        <w:t xml:space="preserve"> </w:t>
      </w:r>
      <w:proofErr w:type="spellStart"/>
      <w:r>
        <w:t>путничко</w:t>
      </w:r>
      <w:proofErr w:type="spellEnd"/>
      <w:r>
        <w:t xml:space="preserve"> </w:t>
      </w:r>
      <w:proofErr w:type="spellStart"/>
      <w:r>
        <w:t>возило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целокупном</w:t>
      </w:r>
      <w:proofErr w:type="spellEnd"/>
      <w:r>
        <w:t xml:space="preserve"> </w:t>
      </w:r>
      <w:proofErr w:type="spellStart"/>
      <w:r>
        <w:t>новом</w:t>
      </w:r>
      <w:proofErr w:type="spellEnd"/>
      <w:r>
        <w:t xml:space="preserve"> </w:t>
      </w:r>
      <w:proofErr w:type="spellStart"/>
      <w:r>
        <w:t>конструкцијом</w:t>
      </w:r>
      <w:proofErr w:type="spellEnd"/>
      <w:r>
        <w:t xml:space="preserve"> и </w:t>
      </w:r>
      <w:proofErr w:type="spellStart"/>
      <w:r>
        <w:t>уграђеним</w:t>
      </w:r>
      <w:proofErr w:type="spellEnd"/>
      <w:r>
        <w:t xml:space="preserve"> </w:t>
      </w:r>
      <w:proofErr w:type="spellStart"/>
      <w:r>
        <w:t>потпуно</w:t>
      </w:r>
      <w:proofErr w:type="spellEnd"/>
      <w:r>
        <w:t xml:space="preserve"> </w:t>
      </w:r>
      <w:proofErr w:type="spellStart"/>
      <w:r>
        <w:t>новим</w:t>
      </w:r>
      <w:proofErr w:type="spellEnd"/>
      <w:r>
        <w:t xml:space="preserve"> </w:t>
      </w:r>
      <w:proofErr w:type="spellStart"/>
      <w:r>
        <w:t>деловима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испоруке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t xml:space="preserve"> </w:t>
      </w:r>
      <w:proofErr w:type="spellStart"/>
      <w:r>
        <w:t>региструје</w:t>
      </w:r>
      <w:proofErr w:type="spellEnd"/>
      <w:r>
        <w:t>.</w:t>
      </w:r>
    </w:p>
    <w:p w:rsidR="00B57DF3" w:rsidRDefault="00B57DF3" w:rsidP="0027044C">
      <w:pPr>
        <w:pStyle w:val="BodyText"/>
        <w:spacing w:line="302" w:lineRule="auto"/>
        <w:ind w:right="746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Понуђач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техничке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доказивати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каталогом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проспектом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језику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доказ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техничке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спецификације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предмета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набавке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каталози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проспекти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произвођача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овлашћених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језику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понуду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њихов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превод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језик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Превод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оверен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судског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тумача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 xml:space="preserve"> </w:t>
      </w:r>
    </w:p>
    <w:p w:rsidR="00B57DF3" w:rsidRDefault="00B57DF3" w:rsidP="0027044C">
      <w:pPr>
        <w:pStyle w:val="BodyText"/>
        <w:spacing w:line="302" w:lineRule="auto"/>
        <w:ind w:right="74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pacing w:val="-4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Понуђач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уопште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достави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захтеван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у документацију о те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хничк</w:t>
      </w:r>
      <w:proofErr w:type="spellEnd"/>
      <w:r>
        <w:rPr>
          <w:rFonts w:ascii="Times New Roman" w:hAnsi="Times New Roman"/>
          <w:spacing w:val="-3"/>
          <w:sz w:val="24"/>
          <w:szCs w:val="24"/>
          <w:lang w:val="sr-Cyrl-RS"/>
        </w:rPr>
        <w:t xml:space="preserve">ој </w:t>
      </w:r>
      <w:proofErr w:type="spellStart"/>
      <w:r>
        <w:rPr>
          <w:rFonts w:ascii="Times New Roman" w:hAnsi="Times New Roman"/>
          <w:sz w:val="24"/>
          <w:szCs w:val="24"/>
        </w:rPr>
        <w:t>спецификациј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Наручиоца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  <w:lang w:val="sr-Cyrl-RS"/>
        </w:rPr>
        <w:t>конкурсне документације,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његова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понуда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одбијена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неодговарајућа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B57DF3" w:rsidRDefault="00B57DF3" w:rsidP="0027044C">
      <w:pPr>
        <w:spacing w:before="93"/>
        <w:jc w:val="both"/>
        <w:rPr>
          <w:lang w:val="sr-Cyrl-RS"/>
        </w:rPr>
      </w:pPr>
      <w:proofErr w:type="spellStart"/>
      <w:proofErr w:type="gramStart"/>
      <w:r>
        <w:t>Понуђено</w:t>
      </w:r>
      <w:proofErr w:type="spellEnd"/>
      <w:r>
        <w:t xml:space="preserve"> </w:t>
      </w:r>
      <w:proofErr w:type="spellStart"/>
      <w:r>
        <w:t>возило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имати</w:t>
      </w:r>
      <w:proofErr w:type="spellEnd"/>
      <w:r>
        <w:t xml:space="preserve"> и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опреме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захтеване</w:t>
      </w:r>
      <w:proofErr w:type="spellEnd"/>
      <w:r>
        <w:rPr>
          <w:lang w:val="sr-Cyrl-RS"/>
        </w:rPr>
        <w:t>,</w:t>
      </w:r>
      <w:r>
        <w:t xml:space="preserve"> с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r>
        <w:rPr>
          <w:lang w:val="sr-Cyrl-RS"/>
        </w:rPr>
        <w:t>п</w:t>
      </w:r>
      <w:proofErr w:type="spellStart"/>
      <w:r>
        <w:t>онуђено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имати</w:t>
      </w:r>
      <w:proofErr w:type="spellEnd"/>
      <w:r>
        <w:t xml:space="preserve"> </w:t>
      </w:r>
      <w:proofErr w:type="spellStart"/>
      <w:r>
        <w:t>ниже</w:t>
      </w:r>
      <w:proofErr w:type="spellEnd"/>
      <w:r>
        <w:t xml:space="preserve"> </w:t>
      </w:r>
      <w:proofErr w:type="spellStart"/>
      <w:r>
        <w:t>техничке</w:t>
      </w:r>
      <w:proofErr w:type="spellEnd"/>
      <w:r>
        <w:t xml:space="preserve"> </w:t>
      </w:r>
      <w:proofErr w:type="spellStart"/>
      <w:r>
        <w:t>карактеристике</w:t>
      </w:r>
      <w:proofErr w:type="spellEnd"/>
      <w:r>
        <w:t xml:space="preserve"> и </w:t>
      </w:r>
      <w:proofErr w:type="spellStart"/>
      <w:r>
        <w:t>мање</w:t>
      </w:r>
      <w:proofErr w:type="spellEnd"/>
      <w:r>
        <w:t xml:space="preserve"> </w:t>
      </w:r>
      <w:proofErr w:type="spellStart"/>
      <w:r>
        <w:t>опреме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захтеван</w:t>
      </w:r>
      <w:proofErr w:type="spellEnd"/>
      <w:r>
        <w:rPr>
          <w:lang w:val="sr-Cyrl-RS"/>
        </w:rPr>
        <w:t>е</w:t>
      </w:r>
      <w:r>
        <w:t>.</w:t>
      </w:r>
      <w:proofErr w:type="gramEnd"/>
    </w:p>
    <w:p w:rsidR="00B57DF3" w:rsidRDefault="00B57DF3" w:rsidP="0027044C">
      <w:pPr>
        <w:jc w:val="both"/>
        <w:rPr>
          <w:lang w:val="sr-Cyrl-RS"/>
        </w:rPr>
      </w:pPr>
      <w:proofErr w:type="spellStart"/>
      <w:r>
        <w:t>Документација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proofErr w:type="gramStart"/>
      <w:r>
        <w:t>испоручено</w:t>
      </w:r>
      <w:proofErr w:type="spellEnd"/>
      <w:r>
        <w:t xml:space="preserve">  </w:t>
      </w:r>
      <w:proofErr w:type="spellStart"/>
      <w:r>
        <w:t>возило</w:t>
      </w:r>
      <w:proofErr w:type="spellEnd"/>
      <w:proofErr w:type="gramEnd"/>
    </w:p>
    <w:p w:rsidR="00B57DF3" w:rsidRDefault="00B57DF3" w:rsidP="0027044C">
      <w:pPr>
        <w:jc w:val="both"/>
      </w:pPr>
      <w:r>
        <w:rPr>
          <w:lang w:val="sr-Cyrl-RS"/>
        </w:rPr>
        <w:t>-</w:t>
      </w:r>
      <w:proofErr w:type="spellStart"/>
      <w:r>
        <w:t>Каталог</w:t>
      </w:r>
      <w:proofErr w:type="spellEnd"/>
      <w:r>
        <w:t xml:space="preserve"> </w:t>
      </w:r>
      <w:proofErr w:type="spellStart"/>
      <w:r>
        <w:t>резервних</w:t>
      </w:r>
      <w:proofErr w:type="spellEnd"/>
      <w:r>
        <w:t xml:space="preserve"> </w:t>
      </w:r>
      <w:proofErr w:type="spellStart"/>
      <w:r>
        <w:t>делова</w:t>
      </w:r>
      <w:proofErr w:type="spellEnd"/>
      <w:r>
        <w:t xml:space="preserve"> </w:t>
      </w:r>
    </w:p>
    <w:p w:rsidR="00B57DF3" w:rsidRDefault="00B57DF3" w:rsidP="0027044C">
      <w:pPr>
        <w:jc w:val="both"/>
      </w:pPr>
      <w:r>
        <w:rPr>
          <w:lang w:val="sr-Cyrl-RS"/>
        </w:rPr>
        <w:t>-</w:t>
      </w:r>
      <w:proofErr w:type="spellStart"/>
      <w:r>
        <w:t>Сервисне</w:t>
      </w:r>
      <w:proofErr w:type="spellEnd"/>
      <w:r>
        <w:t xml:space="preserve"> </w:t>
      </w:r>
      <w:proofErr w:type="spellStart"/>
      <w:r>
        <w:t>књижица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отклањање</w:t>
      </w:r>
      <w:proofErr w:type="spellEnd"/>
      <w:r>
        <w:t xml:space="preserve"> </w:t>
      </w:r>
      <w:proofErr w:type="spellStart"/>
      <w:r>
        <w:t>неисправности</w:t>
      </w:r>
      <w:proofErr w:type="spellEnd"/>
      <w:r>
        <w:t xml:space="preserve"> у </w:t>
      </w:r>
      <w:proofErr w:type="spellStart"/>
      <w:r>
        <w:t>гарантном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</w:t>
      </w:r>
    </w:p>
    <w:p w:rsidR="00B57DF3" w:rsidRDefault="00B57DF3" w:rsidP="0027044C">
      <w:pPr>
        <w:jc w:val="both"/>
      </w:pPr>
      <w:r>
        <w:rPr>
          <w:lang w:val="sr-Cyrl-RS"/>
        </w:rPr>
        <w:t>-</w:t>
      </w:r>
      <w:proofErr w:type="spellStart"/>
      <w:r>
        <w:t>Комплетна</w:t>
      </w:r>
      <w:proofErr w:type="spellEnd"/>
      <w:r>
        <w:rPr>
          <w:lang w:val="sr-Cyrl-RS"/>
        </w:rPr>
        <w:t xml:space="preserve"> </w:t>
      </w:r>
      <w:proofErr w:type="spellStart"/>
      <w:r>
        <w:t>документација</w:t>
      </w:r>
      <w:proofErr w:type="spellEnd"/>
      <w:r>
        <w:rPr>
          <w:lang w:val="sr-Cyrl-RS"/>
        </w:rPr>
        <w:t xml:space="preserve"> </w:t>
      </w:r>
      <w:proofErr w:type="spellStart"/>
      <w:r>
        <w:t>неопходна</w:t>
      </w:r>
      <w:proofErr w:type="spellEnd"/>
      <w:r>
        <w:rPr>
          <w:lang w:val="sr-Cyrl-RS"/>
        </w:rPr>
        <w:t xml:space="preserve"> </w:t>
      </w:r>
      <w:proofErr w:type="spellStart"/>
      <w:r>
        <w:t>за</w:t>
      </w:r>
      <w:proofErr w:type="spellEnd"/>
      <w:r>
        <w:rPr>
          <w:lang w:val="sr-Cyrl-RS"/>
        </w:rPr>
        <w:t xml:space="preserve">  </w:t>
      </w:r>
      <w:proofErr w:type="spellStart"/>
      <w:r>
        <w:t>регистрацију</w:t>
      </w:r>
      <w:proofErr w:type="spellEnd"/>
      <w:r>
        <w:rPr>
          <w:lang w:val="sr-Cyrl-RS"/>
        </w:rPr>
        <w:t xml:space="preserve"> </w:t>
      </w:r>
      <w:proofErr w:type="spellStart"/>
      <w:r>
        <w:rPr>
          <w:spacing w:val="-1"/>
        </w:rPr>
        <w:t>возила</w:t>
      </w:r>
      <w:proofErr w:type="spellEnd"/>
      <w:r>
        <w:rPr>
          <w:spacing w:val="-1"/>
        </w:rPr>
        <w:t xml:space="preserve"> </w:t>
      </w:r>
    </w:p>
    <w:p w:rsidR="006526AF" w:rsidRPr="00B96CC5" w:rsidRDefault="00B57DF3" w:rsidP="0027044C">
      <w:pPr>
        <w:jc w:val="both"/>
      </w:pPr>
      <w:r>
        <w:rPr>
          <w:lang w:val="sr-Cyrl-RS"/>
        </w:rPr>
        <w:t>-</w:t>
      </w:r>
      <w:proofErr w:type="spellStart"/>
      <w:r>
        <w:t>Фактурe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испорученог</w:t>
      </w:r>
      <w:proofErr w:type="spellEnd"/>
      <w:r>
        <w:t xml:space="preserve"> </w:t>
      </w:r>
      <w:proofErr w:type="spellStart"/>
      <w:r>
        <w:t>возила</w:t>
      </w:r>
      <w:proofErr w:type="spellEnd"/>
      <w:r>
        <w:t>(</w:t>
      </w:r>
      <w:proofErr w:type="spellStart"/>
      <w:r>
        <w:t>три</w:t>
      </w:r>
      <w:proofErr w:type="spellEnd"/>
      <w:r>
        <w:rPr>
          <w:spacing w:val="-6"/>
        </w:rPr>
        <w:t xml:space="preserve"> </w:t>
      </w:r>
      <w:proofErr w:type="spellStart"/>
      <w:r>
        <w:t>примерка</w:t>
      </w:r>
      <w:proofErr w:type="spellEnd"/>
      <w:r>
        <w:t>)</w:t>
      </w: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7044C"/>
    <w:rsid w:val="002C3993"/>
    <w:rsid w:val="00460D3F"/>
    <w:rsid w:val="0047379E"/>
    <w:rsid w:val="005A277A"/>
    <w:rsid w:val="005A4CB3"/>
    <w:rsid w:val="006423A5"/>
    <w:rsid w:val="006526AF"/>
    <w:rsid w:val="00662EE2"/>
    <w:rsid w:val="00746F47"/>
    <w:rsid w:val="007564C2"/>
    <w:rsid w:val="007A1717"/>
    <w:rsid w:val="00805900"/>
    <w:rsid w:val="00824E3B"/>
    <w:rsid w:val="008F2D25"/>
    <w:rsid w:val="00B57DF3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60F99"/>
    <w:rsid w:val="00E6472A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57DF3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57DF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36</cp:revision>
  <dcterms:created xsi:type="dcterms:W3CDTF">2020-09-11T12:24:00Z</dcterms:created>
  <dcterms:modified xsi:type="dcterms:W3CDTF">2021-12-07T07:43:00Z</dcterms:modified>
</cp:coreProperties>
</file>