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Opštinska uprava opštine Vrnjačka Banja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100917981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Kruševačka 17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36210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Vrnjačka Banja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27.07.2021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400-1521/21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Opštinska uprava opštine Vrnjačka Banja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400-1521/21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Građevinski materijal - interno raseljena lica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F02-0022708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44110000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Građevinski materijal - interno raseljena lica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500.000,00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TPU NIPS DOO  PARAĆIN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101613831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Majora Marka preko pruge, 19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Paraćin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35250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499.740,00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599.688,00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Građevinski materijal - interno raseljena lica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400-1521/21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400-1521/21, 28.06.2021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500.000,00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44110000-Građevinski materijali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Građevinski materijal za izbegla lica namenjen realizaciji pomoći  na poboljšanju uslova stanovanja, po osnovu Ugovora o saradnji sa KIRS-om, br. 110-273/19 od 11.09.2019.godine.</w:t>
                    <w:br/>
                    <w:t xml:space="preserve">Nabavka grantova u građevinskom materijalu. Maksimalna vrednost paketa građevinskog materijala po domaćinstvu 200.000,00 dinara sa PDV-om.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F02-0022708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29.06.2021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09.07.2021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Suzana Crnoglavac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Ivana Jovanović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Milijana Vukomanović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Aleksandar Miljaković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Biljana Novoselac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Ružica Mitrović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Građevinski materijal - interno raseljena lica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09.07.2021 12:10:00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09.07.2021 12:10:02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TPU NIPS DOO  PARAĆIN, Majora Marka preko pruge, 19, 35250, Paraćin,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8/7-21 od 08.07.2021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8.7.2021. 13:49:34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TPU NIPS DOO  PARAĆIN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499740.00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599688.00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do 45 dana u skladu sa uslovima definisanim modelom ugovora.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TPU NIPS DOO  PARAĆIN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499740.00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599688.00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do 45 dana u skladu sa uslovima definisanim modelom ugovora.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TPU NIPS DOO  PARAĆIN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499.740,00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599.688,00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Napomena uz pregled ponude: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Komisija konstatuje da su na strani naručioca, a u skladu sa čl. 146. ZJN ispunjeni uslovi za dodelu ugovora, obzirom da je ponuda ponuđača   TPU NIPS doo iz Paraćina prihvatljiva, jer ispunjava uslove definisane dokumentacijom o nabavci.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Nije utvrđeno postojanje sukoba interesa.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TPU NIPS DOO  PARAĆIN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499.740,00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Komisija konstatuje da su na strani naručioca, a u skladu sa čl. 146. ZJN ispunjeni uslovi za dodelu ugovora, obzirom da je ponuda ponuđača   TPU NIPS doo iz Paraćina prihvatljiva, jer ispunjava uslove definisane dokumentacijom o nabavci.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</w:rPr>
        <w:t>Komisija konstatuje da su na strani naručioca, a u skladu sa čl. 146. ZJN ispunjeni uslovi za dodelu ugovora, obzirom da je ponuda ponuđača   TPU NIPS doo iz Paraćina prihvatljiva, jer ispunjava uslove definisane dokumentacijom o nabavci.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