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2021</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1A04E6"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1A04E6" w:rsidRPr="001A04E6">
        <w:rPr>
          <w:rFonts w:ascii="Arial" w:hAnsi="Arial" w:cs="Arial"/>
          <w:sz w:val="24"/>
          <w:szCs w:val="24"/>
        </w:rPr>
        <w:t xml:space="preserve"> </w:t>
      </w:r>
      <w:r w:rsidR="001A04E6" w:rsidRPr="001A04E6">
        <w:rPr>
          <w:rFonts w:ascii="Times New Roman" w:hAnsi="Times New Roman" w:cs="Times New Roman"/>
          <w:sz w:val="24"/>
          <w:szCs w:val="24"/>
        </w:rPr>
        <w:t>Председник Општине и Општинско веће општине Врњачка Бања</w:t>
      </w:r>
      <w:r w:rsidR="001A04E6" w:rsidRPr="001A04E6">
        <w:rPr>
          <w:rFonts w:ascii="Times New Roman" w:hAnsi="Times New Roman" w:cs="Times New Roman"/>
          <w:sz w:val="24"/>
          <w:szCs w:val="24"/>
          <w:lang w:val="sr-Cyrl-CS"/>
        </w:rPr>
        <w:t xml:space="preserve">, ул.Крушевачка 17, 36210 Врњачка Бања, ПИБ 100917981, матични број 07175981, </w:t>
      </w:r>
      <w:r w:rsidR="001A04E6" w:rsidRPr="001A04E6">
        <w:rPr>
          <w:rFonts w:ascii="Times New Roman" w:hAnsi="Times New Roman" w:cs="Times New Roman"/>
          <w:spacing w:val="21"/>
          <w:sz w:val="24"/>
          <w:szCs w:val="24"/>
          <w:lang w:val="sr-Cyrl-CS"/>
        </w:rPr>
        <w:t xml:space="preserve"> </w:t>
      </w:r>
      <w:r w:rsidR="001A04E6" w:rsidRPr="001A04E6">
        <w:rPr>
          <w:rFonts w:ascii="Times New Roman" w:hAnsi="Times New Roman" w:cs="Times New Roman"/>
          <w:sz w:val="24"/>
          <w:szCs w:val="24"/>
          <w:lang w:val="sr-Cyrl-CS"/>
        </w:rPr>
        <w:t>број рачуна : 840-75640-91 код Управе за трезор Краљево, Филијала Врњачка Бања</w:t>
      </w:r>
      <w:r w:rsidR="001A04E6" w:rsidRPr="001A04E6">
        <w:rPr>
          <w:rFonts w:ascii="Times New Roman" w:hAnsi="Times New Roman" w:cs="Times New Roman"/>
          <w:sz w:val="24"/>
          <w:szCs w:val="24"/>
          <w:lang w:val="sr-Latn-CS"/>
        </w:rPr>
        <w:t xml:space="preserve">, </w:t>
      </w:r>
      <w:r w:rsidR="001A04E6" w:rsidRPr="001A04E6">
        <w:rPr>
          <w:rFonts w:ascii="Times New Roman" w:hAnsi="Times New Roman" w:cs="Times New Roman"/>
          <w:sz w:val="24"/>
          <w:szCs w:val="24"/>
          <w:lang w:val="sr-Cyrl-CS"/>
        </w:rPr>
        <w:t xml:space="preserve">коју заступа Бобан Ђуровић, Председник општине Врњачка Бања,  </w:t>
      </w:r>
      <w:r w:rsidR="001A04E6" w:rsidRPr="001A04E6">
        <w:rPr>
          <w:rFonts w:ascii="Times New Roman" w:hAnsi="Times New Roman" w:cs="Times New Roman"/>
          <w:spacing w:val="1"/>
          <w:sz w:val="24"/>
          <w:szCs w:val="24"/>
          <w:lang w:val="sr-Cyrl-CS"/>
        </w:rPr>
        <w:t>(</w:t>
      </w:r>
      <w:r w:rsidR="001A04E6" w:rsidRPr="001A04E6">
        <w:rPr>
          <w:rFonts w:ascii="Times New Roman" w:hAnsi="Times New Roman" w:cs="Times New Roman"/>
          <w:sz w:val="24"/>
          <w:szCs w:val="24"/>
          <w:lang w:val="sr-Cyrl-CS"/>
        </w:rPr>
        <w:t>у</w:t>
      </w:r>
      <w:r w:rsidR="001A04E6" w:rsidRPr="001A04E6">
        <w:rPr>
          <w:rFonts w:ascii="Times New Roman" w:hAnsi="Times New Roman" w:cs="Times New Roman"/>
          <w:spacing w:val="-5"/>
          <w:sz w:val="24"/>
          <w:szCs w:val="24"/>
          <w:lang w:val="sr-Cyrl-CS"/>
        </w:rPr>
        <w:t xml:space="preserve"> </w:t>
      </w:r>
      <w:r w:rsidR="001A04E6" w:rsidRPr="001A04E6">
        <w:rPr>
          <w:rFonts w:ascii="Times New Roman" w:hAnsi="Times New Roman" w:cs="Times New Roman"/>
          <w:spacing w:val="2"/>
          <w:sz w:val="24"/>
          <w:szCs w:val="24"/>
          <w:lang w:val="sr-Cyrl-CS"/>
        </w:rPr>
        <w:t>д</w:t>
      </w:r>
      <w:r w:rsidR="001A04E6" w:rsidRPr="001A04E6">
        <w:rPr>
          <w:rFonts w:ascii="Times New Roman" w:hAnsi="Times New Roman" w:cs="Times New Roman"/>
          <w:spacing w:val="-1"/>
          <w:sz w:val="24"/>
          <w:szCs w:val="24"/>
          <w:lang w:val="sr-Cyrl-CS"/>
        </w:rPr>
        <w:t>а</w:t>
      </w:r>
      <w:r w:rsidR="001A04E6" w:rsidRPr="001A04E6">
        <w:rPr>
          <w:rFonts w:ascii="Times New Roman" w:hAnsi="Times New Roman" w:cs="Times New Roman"/>
          <w:sz w:val="24"/>
          <w:szCs w:val="24"/>
          <w:lang w:val="sr-Cyrl-CS"/>
        </w:rPr>
        <w:t>љ</w:t>
      </w:r>
      <w:r w:rsidR="001A04E6" w:rsidRPr="001A04E6">
        <w:rPr>
          <w:rFonts w:ascii="Times New Roman" w:hAnsi="Times New Roman" w:cs="Times New Roman"/>
          <w:spacing w:val="-1"/>
          <w:sz w:val="24"/>
          <w:szCs w:val="24"/>
          <w:lang w:val="sr-Cyrl-CS"/>
        </w:rPr>
        <w:t>е</w:t>
      </w:r>
      <w:r w:rsidR="001A04E6" w:rsidRPr="001A04E6">
        <w:rPr>
          <w:rFonts w:ascii="Times New Roman" w:hAnsi="Times New Roman" w:cs="Times New Roman"/>
          <w:sz w:val="24"/>
          <w:szCs w:val="24"/>
          <w:lang w:val="sr-Cyrl-CS"/>
        </w:rPr>
        <w:t>м</w:t>
      </w:r>
      <w:r w:rsidR="001A04E6" w:rsidRPr="001A04E6">
        <w:rPr>
          <w:rFonts w:ascii="Times New Roman" w:hAnsi="Times New Roman" w:cs="Times New Roman"/>
          <w:spacing w:val="-1"/>
          <w:sz w:val="24"/>
          <w:szCs w:val="24"/>
          <w:lang w:val="sr-Cyrl-CS"/>
        </w:rPr>
        <w:t xml:space="preserve"> </w:t>
      </w:r>
      <w:r w:rsidR="001A04E6" w:rsidRPr="001A04E6">
        <w:rPr>
          <w:rFonts w:ascii="Times New Roman" w:hAnsi="Times New Roman" w:cs="Times New Roman"/>
          <w:sz w:val="24"/>
          <w:szCs w:val="24"/>
          <w:lang w:val="sr-Cyrl-CS"/>
        </w:rPr>
        <w:t>те</w:t>
      </w:r>
      <w:r w:rsidR="001A04E6" w:rsidRPr="001A04E6">
        <w:rPr>
          <w:rFonts w:ascii="Times New Roman" w:hAnsi="Times New Roman" w:cs="Times New Roman"/>
          <w:spacing w:val="-4"/>
          <w:sz w:val="24"/>
          <w:szCs w:val="24"/>
          <w:lang w:val="sr-Cyrl-CS"/>
        </w:rPr>
        <w:t>к</w:t>
      </w:r>
      <w:r w:rsidR="001A04E6" w:rsidRPr="001A04E6">
        <w:rPr>
          <w:rFonts w:ascii="Times New Roman" w:hAnsi="Times New Roman" w:cs="Times New Roman"/>
          <w:spacing w:val="-1"/>
          <w:sz w:val="24"/>
          <w:szCs w:val="24"/>
          <w:lang w:val="sr-Cyrl-CS"/>
        </w:rPr>
        <w:t>с</w:t>
      </w:r>
      <w:r w:rsidR="001A04E6" w:rsidRPr="001A04E6">
        <w:rPr>
          <w:rFonts w:ascii="Times New Roman" w:hAnsi="Times New Roman" w:cs="Times New Roman"/>
          <w:sz w:val="24"/>
          <w:szCs w:val="24"/>
          <w:lang w:val="sr-Cyrl-CS"/>
        </w:rPr>
        <w:t>т</w:t>
      </w:r>
      <w:r w:rsidR="001A04E6" w:rsidRPr="001A04E6">
        <w:rPr>
          <w:rFonts w:ascii="Times New Roman" w:hAnsi="Times New Roman" w:cs="Times New Roman"/>
          <w:spacing w:val="-10"/>
          <w:sz w:val="24"/>
          <w:szCs w:val="24"/>
          <w:lang w:val="sr-Cyrl-CS"/>
        </w:rPr>
        <w:t>у</w:t>
      </w:r>
      <w:r w:rsidR="001A04E6" w:rsidRPr="001A04E6">
        <w:rPr>
          <w:rFonts w:ascii="Times New Roman" w:hAnsi="Times New Roman" w:cs="Times New Roman"/>
          <w:sz w:val="24"/>
          <w:szCs w:val="24"/>
          <w:lang w:val="sr-Cyrl-CS"/>
        </w:rPr>
        <w:t>: Наручилац)</w:t>
      </w:r>
      <w:r w:rsidRPr="001A04E6">
        <w:rPr>
          <w:rFonts w:ascii="Times New Roman" w:hAnsi="Times New Roman" w:cs="Times New Roman"/>
          <w:sz w:val="24"/>
          <w:szCs w:val="24"/>
          <w:lang w:val="sr-Cyrl-CS"/>
        </w:rPr>
        <w:t xml:space="preserve">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_______________________________</w:t>
      </w:r>
      <w:r w:rsidRPr="002662A7">
        <w:rPr>
          <w:rFonts w:ascii="Times New Roman" w:eastAsia="TT1BB1o00" w:hAnsi="Times New Roman" w:cs="Times New Roman"/>
          <w:sz w:val="24"/>
          <w:szCs w:val="24"/>
        </w:rPr>
        <w:t xml:space="preserve"> ул.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матични број: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кога заступа Директор</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својству пружаоца услуге (у даљем тексту: Пружалац услуге)</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r w:rsidRPr="002662A7">
        <w:rPr>
          <w:rFonts w:ascii="Times New Roman" w:hAnsi="Times New Roman" w:cs="Times New Roman"/>
          <w:sz w:val="24"/>
          <w:szCs w:val="24"/>
        </w:rPr>
        <w:t>oj</w:t>
      </w:r>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586096" w:rsidRPr="002662A7">
        <w:rPr>
          <w:rFonts w:ascii="Times New Roman" w:hAnsi="Times New Roman" w:cs="Times New Roman"/>
          <w:sz w:val="24"/>
          <w:szCs w:val="24"/>
          <w:lang w:val="sr-Cyrl-CS"/>
        </w:rPr>
        <w:t>400-1370/21</w:t>
      </w:r>
      <w:r w:rsidRPr="002662A7">
        <w:rPr>
          <w:rFonts w:ascii="Times New Roman" w:hAnsi="Times New Roman" w:cs="Times New Roman"/>
          <w:sz w:val="24"/>
          <w:szCs w:val="24"/>
          <w:lang w:val="sr-Cyrl-CS"/>
        </w:rPr>
        <w:t xml:space="preserve"> од </w:t>
      </w:r>
      <w:r w:rsidR="00586096" w:rsidRPr="002662A7">
        <w:rPr>
          <w:rFonts w:ascii="Times New Roman" w:hAnsi="Times New Roman" w:cs="Times New Roman"/>
          <w:sz w:val="24"/>
          <w:szCs w:val="24"/>
          <w:lang w:val="sr-Cyrl-CS"/>
        </w:rPr>
        <w:t>03.06.2021.</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услуге мобилне телефоније на период од 2 (две) године </w:t>
      </w:r>
      <w:r w:rsidRPr="002662A7">
        <w:rPr>
          <w:rFonts w:ascii="Times New Roman" w:hAnsi="Times New Roman" w:cs="Times New Roman"/>
          <w:w w:val="110"/>
          <w:sz w:val="24"/>
          <w:szCs w:val="24"/>
        </w:rPr>
        <w:t>за потребе Општинске управе општине Врњачка Бања.</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Pr="002662A7">
        <w:rPr>
          <w:rFonts w:ascii="Times New Roman" w:hAnsi="Times New Roman" w:cs="Times New Roman"/>
          <w:sz w:val="24"/>
          <w:szCs w:val="24"/>
        </w:rPr>
        <w:t xml:space="preserve">Добављач доставио </w:t>
      </w:r>
      <w:r w:rsidRPr="002662A7">
        <w:rPr>
          <w:rFonts w:ascii="Times New Roman" w:hAnsi="Times New Roman" w:cs="Times New Roman"/>
          <w:spacing w:val="-3"/>
          <w:sz w:val="24"/>
          <w:szCs w:val="24"/>
        </w:rPr>
        <w:t xml:space="preserve">понуду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r w:rsidRPr="002662A7">
        <w:rPr>
          <w:rFonts w:ascii="Times New Roman" w:hAnsi="Times New Roman" w:cs="Times New Roman"/>
          <w:sz w:val="24"/>
          <w:szCs w:val="24"/>
        </w:rPr>
        <w:t xml:space="preserve">Добављача   за набавку услуге мобилне телефоније за потребе </w:t>
      </w:r>
      <w:r w:rsidR="00D21566">
        <w:rPr>
          <w:rFonts w:ascii="Times New Roman" w:hAnsi="Times New Roman" w:cs="Times New Roman"/>
          <w:sz w:val="24"/>
          <w:szCs w:val="24"/>
        </w:rPr>
        <w:t xml:space="preserve">Општинског правобранилаштва </w:t>
      </w:r>
      <w:r w:rsidRPr="002662A7">
        <w:rPr>
          <w:rFonts w:ascii="Times New Roman" w:hAnsi="Times New Roman" w:cs="Times New Roman"/>
          <w:sz w:val="24"/>
          <w:szCs w:val="24"/>
        </w:rPr>
        <w:t xml:space="preserve"> општине Врњачка Бања по спроведеном поступку јавне набавке бр</w:t>
      </w:r>
      <w:r w:rsidRPr="002662A7">
        <w:rPr>
          <w:rFonts w:ascii="Times New Roman" w:hAnsi="Times New Roman" w:cs="Times New Roman"/>
          <w:spacing w:val="2"/>
          <w:sz w:val="24"/>
          <w:szCs w:val="24"/>
        </w:rPr>
        <w:t>. 14</w:t>
      </w:r>
      <w:r w:rsidRPr="002662A7">
        <w:rPr>
          <w:rFonts w:ascii="Times New Roman" w:hAnsi="Times New Roman" w:cs="Times New Roman"/>
          <w:sz w:val="24"/>
          <w:szCs w:val="24"/>
        </w:rPr>
        <w:t>/2021.</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је </w:t>
      </w:r>
      <w:r w:rsidR="007670C6">
        <w:rPr>
          <w:rFonts w:ascii="Times New Roman" w:hAnsi="Times New Roman" w:cs="Times New Roman"/>
          <w:noProof/>
          <w:sz w:val="24"/>
          <w:szCs w:val="24"/>
        </w:rPr>
        <w:t xml:space="preserve">11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w:t>
      </w:r>
      <w:r w:rsidRPr="00170062">
        <w:rPr>
          <w:rFonts w:ascii="Times New Roman" w:hAnsi="Times New Roman" w:cs="Times New Roman"/>
          <w:noProof/>
          <w:sz w:val="24"/>
          <w:szCs w:val="24"/>
          <w:lang w:val="sr-Cyrl-CS"/>
        </w:rPr>
        <w:lastRenderedPageBreak/>
        <w:t xml:space="preserve">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1A04E6">
        <w:rPr>
          <w:rFonts w:ascii="Times New Roman" w:hAnsi="Times New Roman" w:cs="Times New Roman"/>
          <w:noProof/>
          <w:sz w:val="24"/>
          <w:szCs w:val="24"/>
        </w:rPr>
        <w:t>214.034,00</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bookmarkStart w:id="0" w:name="_GoBack"/>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w:t>
      </w:r>
      <w:r w:rsidRPr="00170062">
        <w:rPr>
          <w:rFonts w:ascii="Times New Roman" w:hAnsi="Times New Roman"/>
          <w:noProof/>
          <w:sz w:val="24"/>
          <w:szCs w:val="24"/>
          <w:lang w:val="sr-Cyrl-CS"/>
        </w:rPr>
        <w:lastRenderedPageBreak/>
        <w:t>кућним централама фиксне телефоније наручиоца подземним жичаним или 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bookmarkEnd w:id="0"/>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r w:rsidR="002C5660" w:rsidRPr="002662A7">
        <w:rPr>
          <w:rFonts w:ascii="Times New Roman" w:hAnsi="Times New Roman"/>
          <w:szCs w:val="24"/>
          <w:lang w:val="en-US"/>
        </w:rPr>
        <w:t xml:space="preserve">ез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2662A7">
        <w:rPr>
          <w:rFonts w:ascii="Times New Roman" w:hAnsi="Times New Roman" w:cs="Times New Roman"/>
          <w:color w:val="000000"/>
          <w:sz w:val="24"/>
          <w:szCs w:val="24"/>
        </w:rPr>
        <w:t>У цену</w:t>
      </w:r>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урачунат</w:t>
      </w:r>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све ставке</w:t>
      </w:r>
      <w:r w:rsidR="009962EF" w:rsidRPr="002662A7">
        <w:rPr>
          <w:rFonts w:ascii="Times New Roman" w:hAnsi="Times New Roman" w:cs="Times New Roman"/>
          <w:color w:val="000000"/>
          <w:sz w:val="24"/>
          <w:szCs w:val="24"/>
        </w:rPr>
        <w:t xml:space="preserve"> из техничке спецификације и сви остали трошкови</w:t>
      </w:r>
      <w:r w:rsidRPr="002662A7">
        <w:rPr>
          <w:rFonts w:ascii="Times New Roman" w:hAnsi="Times New Roman" w:cs="Times New Roman"/>
          <w:color w:val="000000"/>
          <w:sz w:val="24"/>
          <w:szCs w:val="24"/>
        </w:rPr>
        <w:t xml:space="preserve"> које понуђач има у реализацији предметне јавне набавке.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2021</w:t>
      </w:r>
      <w:r w:rsidRPr="002662A7">
        <w:rPr>
          <w:lang w:val="sr-Cyrl-CS"/>
        </w:rPr>
        <w:t>.години</w:t>
      </w:r>
      <w:r w:rsidRPr="002662A7">
        <w:t>, даном потписивања уговора,</w:t>
      </w:r>
      <w:r w:rsidRPr="002662A7">
        <w:rPr>
          <w:lang w:val="sr-Cyrl-CS"/>
        </w:rPr>
        <w:t xml:space="preserve"> а завршетак реал</w:t>
      </w:r>
      <w:r w:rsidR="00E27B69">
        <w:rPr>
          <w:lang w:val="sr-Cyrl-CS"/>
        </w:rPr>
        <w:t>изације ће бити у 2023</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2022.години и 2023</w:t>
      </w:r>
      <w:r w:rsidRPr="002662A7">
        <w:rPr>
          <w:lang w:val="sr-Cyrl-CS"/>
        </w:rPr>
        <w:t xml:space="preserve"> биће реализоване највише до износа средстава која ћ</w:t>
      </w:r>
      <w:r w:rsidR="00E27B69">
        <w:rPr>
          <w:lang w:val="sr-Cyrl-CS"/>
        </w:rPr>
        <w:t>е бити одобрена у  буџетској 2022</w:t>
      </w:r>
      <w:r w:rsidRPr="002662A7">
        <w:rPr>
          <w:lang w:val="sr-Cyrl-CS"/>
        </w:rPr>
        <w:t>.</w:t>
      </w:r>
      <w:r w:rsidR="002C5660" w:rsidRPr="002662A7">
        <w:t xml:space="preserve">и </w:t>
      </w:r>
      <w:r w:rsidR="00E27B69">
        <w:t>2023</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r w:rsidR="00CB6C71" w:rsidRPr="002662A7">
        <w:rPr>
          <w:rFonts w:ascii="Times New Roman" w:hAnsi="Times New Roman" w:cs="Times New Roman"/>
          <w:sz w:val="24"/>
          <w:szCs w:val="24"/>
        </w:rPr>
        <w:t xml:space="preserve">oд дана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r w:rsidRPr="002662A7">
        <w:rPr>
          <w:rFonts w:eastAsia="TT1BB1o00"/>
        </w:rPr>
        <w:t>Пружалац услуге</w:t>
      </w:r>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r w:rsidRPr="002662A7">
        <w:rPr>
          <w:rFonts w:eastAsia="TT1BB1o00"/>
        </w:rPr>
        <w:t>Пружалац услуге</w:t>
      </w:r>
      <w:r w:rsidRPr="002662A7">
        <w:rPr>
          <w:rStyle w:val="FontStyle59"/>
          <w:sz w:val="24"/>
          <w:szCs w:val="24"/>
          <w:lang w:val="hr-HR" w:eastAsia="sr-Cyrl-CS"/>
        </w:rPr>
        <w:t xml:space="preserve"> ce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t>Изврши промену броја тражених пакета (било смањивањем или повећавањем одређеног броја линија у оквиру једног или више пакета), у складу са потребама интерне систематизације Наручиоца, а на писмени захтев Наручиоца.</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гарантује квалитет  телефонских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r w:rsidRPr="002662A7">
        <w:rPr>
          <w:rStyle w:val="FontStyle59"/>
          <w:b/>
          <w:sz w:val="24"/>
          <w:szCs w:val="24"/>
          <w:lang w:eastAsia="sr-Cyrl-CS"/>
        </w:rPr>
        <w:t xml:space="preserve">Члан </w:t>
      </w:r>
      <w:r w:rsidRPr="002662A7">
        <w:rPr>
          <w:rStyle w:val="FontStyle59"/>
          <w:b/>
          <w:sz w:val="24"/>
          <w:szCs w:val="24"/>
          <w:lang w:val="sr-Cyrl-CS" w:eastAsia="sr-Cyrl-CS"/>
        </w:rPr>
        <w:t>7.</w:t>
      </w:r>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 xml:space="preserve">обавезује да услуге из члана </w:t>
      </w:r>
      <w:r w:rsidRPr="002662A7">
        <w:rPr>
          <w:rStyle w:val="FontStyle59"/>
          <w:sz w:val="24"/>
          <w:szCs w:val="24"/>
          <w:lang w:val="sr-Cyrl-CS" w:eastAsia="sr-Cyrl-CS"/>
        </w:rPr>
        <w:t>2.</w:t>
      </w:r>
      <w:r w:rsidR="007F3CCE">
        <w:rPr>
          <w:rStyle w:val="FontStyle59"/>
          <w:sz w:val="24"/>
          <w:szCs w:val="24"/>
          <w:lang w:val="sr-Cyrl-CS" w:eastAsia="sr-Cyrl-CS"/>
        </w:rPr>
        <w:t xml:space="preserve"> </w:t>
      </w:r>
      <w:r w:rsidRPr="002662A7">
        <w:rPr>
          <w:rStyle w:val="FontStyle59"/>
          <w:sz w:val="24"/>
          <w:szCs w:val="24"/>
          <w:lang w:eastAsia="sr-Cyrl-CS"/>
        </w:rPr>
        <w:t xml:space="preserve">плаћа у складу са уговореним начином и роком плаћања представљеним у члану </w:t>
      </w:r>
      <w:r w:rsidRPr="002662A7">
        <w:rPr>
          <w:rStyle w:val="FontStyle59"/>
          <w:sz w:val="24"/>
          <w:szCs w:val="24"/>
          <w:lang w:val="sr-Cyrl-CS" w:eastAsia="sr-Cyrl-CS"/>
        </w:rPr>
        <w:t>5.</w:t>
      </w:r>
      <w:r w:rsidRPr="002662A7">
        <w:rPr>
          <w:rStyle w:val="FontStyle59"/>
          <w:sz w:val="24"/>
          <w:szCs w:val="24"/>
          <w:lang w:eastAsia="sr-Cyrl-CS"/>
        </w:rPr>
        <w:t>овог уговора.</w:t>
      </w:r>
    </w:p>
    <w:p w:rsidR="00765F48" w:rsidRPr="002662A7" w:rsidRDefault="00765F48" w:rsidP="00765F48">
      <w:pPr>
        <w:pStyle w:val="Style7"/>
        <w:widowControl/>
        <w:spacing w:line="269" w:lineRule="exact"/>
        <w:ind w:left="29"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обавезује да одреди лица за надзор над извршењем услуга која ће имати следећа задужења: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Комуникација и сарадња са овлашћеним представницихма извршиоца;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lastRenderedPageBreak/>
        <w:t>Праћење квалитета пружених услута;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Праћење оперативне и финансијске реализације уговора;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Припрема записника о примопредаји телефонских апарата и картица;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Провера рачуна.</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rPr>
        <w:t>Уколико овлашћено лице наручиоца улаже приговор (рекламације), које се односе на квалитет пружене услуге и на испостављени рачун, поступаће се у складу са Законом о електронским комуникацијама.</w:t>
      </w:r>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 xml:space="preserve"> </w:t>
      </w:r>
      <w:r w:rsidR="007670C6">
        <w:rPr>
          <w:rFonts w:ascii="Times New Roman" w:hAnsi="Times New Roman" w:cs="Times New Roman"/>
          <w:sz w:val="24"/>
          <w:szCs w:val="24"/>
        </w:rPr>
        <w:t>се обавезује да нако</w:t>
      </w:r>
      <w:r w:rsidR="007670C6">
        <w:rPr>
          <w:rFonts w:ascii="Times New Roman" w:hAnsi="Times New Roman" w:cs="Times New Roman"/>
          <w:sz w:val="24"/>
          <w:szCs w:val="24"/>
          <w:lang/>
        </w:rPr>
        <w:t>н</w:t>
      </w:r>
      <w:r w:rsidR="007670C6">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закључења овог уговора,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r w:rsidRPr="002662A7">
        <w:rPr>
          <w:rFonts w:ascii="Times New Roman" w:hAnsi="Times New Roman" w:cs="Times New Roman"/>
          <w:sz w:val="24"/>
          <w:szCs w:val="24"/>
        </w:rPr>
        <w:t xml:space="preserve">са роком важности који је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дана дужи од истека периода на који се уговор закључује.</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r w:rsidRPr="002662A7">
        <w:rPr>
          <w:rFonts w:ascii="Times New Roman" w:eastAsia="TT1BB1o00" w:hAnsi="Times New Roman" w:cs="Times New Roman"/>
          <w:sz w:val="24"/>
          <w:szCs w:val="24"/>
        </w:rPr>
        <w:t>Пружалац услуге</w:t>
      </w:r>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r w:rsidR="00BA17A4" w:rsidRPr="002662A7">
        <w:rPr>
          <w:rFonts w:ascii="Times New Roman" w:hAnsi="Times New Roman" w:cs="Times New Roman"/>
          <w:sz w:val="24"/>
          <w:szCs w:val="24"/>
        </w:rPr>
        <w:t>уговара се надлежност Основног суда у Краљеву</w:t>
      </w:r>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r w:rsidRPr="002662A7">
        <w:rPr>
          <w:rFonts w:ascii="Times New Roman" w:hAnsi="Times New Roman" w:cs="Times New Roman"/>
          <w:sz w:val="24"/>
          <w:szCs w:val="24"/>
        </w:rPr>
        <w:t>Члан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4E3A74"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4E3A74">
        <w:rPr>
          <w:sz w:val="24"/>
          <w:szCs w:val="24"/>
        </w:rPr>
        <w:t xml:space="preserve">         </w:t>
      </w:r>
      <w:r w:rsidR="007F3CCE">
        <w:rPr>
          <w:sz w:val="24"/>
          <w:szCs w:val="24"/>
        </w:rPr>
        <w:t xml:space="preserve">  </w:t>
      </w:r>
      <w:r w:rsidR="004E3A74">
        <w:rPr>
          <w:sz w:val="24"/>
          <w:szCs w:val="24"/>
        </w:rPr>
        <w:t>Председник</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Општине Врњачка Бања</w:t>
      </w:r>
    </w:p>
    <w:p w:rsidR="00C153DE" w:rsidRPr="004E3A74"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4E3A74">
        <w:rPr>
          <w:sz w:val="24"/>
          <w:szCs w:val="24"/>
        </w:rPr>
        <w:t xml:space="preserve">    </w:t>
      </w:r>
      <w:r w:rsidRPr="002662A7">
        <w:rPr>
          <w:sz w:val="24"/>
          <w:szCs w:val="24"/>
        </w:rPr>
        <w:t xml:space="preserve"> </w:t>
      </w:r>
      <w:r w:rsidR="004E3A74">
        <w:rPr>
          <w:sz w:val="24"/>
          <w:szCs w:val="24"/>
        </w:rPr>
        <w:t>Бобан Ђуровић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1AA" w:rsidRDefault="003861AA" w:rsidP="00525B89">
      <w:pPr>
        <w:spacing w:after="0" w:line="240" w:lineRule="auto"/>
      </w:pPr>
      <w:r>
        <w:separator/>
      </w:r>
    </w:p>
  </w:endnote>
  <w:endnote w:type="continuationSeparator" w:id="1">
    <w:p w:rsidR="003861AA" w:rsidRDefault="003861AA" w:rsidP="00525B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1AA" w:rsidRDefault="003861AA" w:rsidP="00525B89">
      <w:pPr>
        <w:spacing w:after="0" w:line="240" w:lineRule="auto"/>
      </w:pPr>
      <w:r>
        <w:separator/>
      </w:r>
    </w:p>
  </w:footnote>
  <w:footnote w:type="continuationSeparator" w:id="1">
    <w:p w:rsidR="003861AA" w:rsidRDefault="003861AA" w:rsidP="00525B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useFELayout/>
  </w:compat>
  <w:rsids>
    <w:rsidRoot w:val="00765F48"/>
    <w:rsid w:val="000316B0"/>
    <w:rsid w:val="000B391E"/>
    <w:rsid w:val="000D2150"/>
    <w:rsid w:val="00170062"/>
    <w:rsid w:val="00196183"/>
    <w:rsid w:val="001A04E6"/>
    <w:rsid w:val="001C6BEF"/>
    <w:rsid w:val="001E6FE3"/>
    <w:rsid w:val="002218B0"/>
    <w:rsid w:val="00247B5E"/>
    <w:rsid w:val="002662A7"/>
    <w:rsid w:val="002C5660"/>
    <w:rsid w:val="002D0974"/>
    <w:rsid w:val="002D34F3"/>
    <w:rsid w:val="002E02CF"/>
    <w:rsid w:val="003015FD"/>
    <w:rsid w:val="0031790B"/>
    <w:rsid w:val="003654E6"/>
    <w:rsid w:val="003861AA"/>
    <w:rsid w:val="00451082"/>
    <w:rsid w:val="004619D7"/>
    <w:rsid w:val="004E3A74"/>
    <w:rsid w:val="00525B89"/>
    <w:rsid w:val="00551425"/>
    <w:rsid w:val="00581D52"/>
    <w:rsid w:val="00586096"/>
    <w:rsid w:val="00596FE3"/>
    <w:rsid w:val="005C0960"/>
    <w:rsid w:val="005C2D7C"/>
    <w:rsid w:val="006A2A3C"/>
    <w:rsid w:val="0070602B"/>
    <w:rsid w:val="00761BDD"/>
    <w:rsid w:val="00765F48"/>
    <w:rsid w:val="007670C6"/>
    <w:rsid w:val="00795C5D"/>
    <w:rsid w:val="007B72D5"/>
    <w:rsid w:val="007F3CCE"/>
    <w:rsid w:val="00827BE0"/>
    <w:rsid w:val="00852752"/>
    <w:rsid w:val="008A43C0"/>
    <w:rsid w:val="008E43DE"/>
    <w:rsid w:val="009165B2"/>
    <w:rsid w:val="0091727D"/>
    <w:rsid w:val="009962EF"/>
    <w:rsid w:val="009F447C"/>
    <w:rsid w:val="00A272A1"/>
    <w:rsid w:val="00A621C1"/>
    <w:rsid w:val="00A64BC4"/>
    <w:rsid w:val="00A85758"/>
    <w:rsid w:val="00AA492E"/>
    <w:rsid w:val="00AB61CC"/>
    <w:rsid w:val="00AB7D5B"/>
    <w:rsid w:val="00AC46C7"/>
    <w:rsid w:val="00B301DB"/>
    <w:rsid w:val="00BA17A4"/>
    <w:rsid w:val="00BA7C24"/>
    <w:rsid w:val="00BF1AA0"/>
    <w:rsid w:val="00C153DE"/>
    <w:rsid w:val="00CA3284"/>
    <w:rsid w:val="00CB6C71"/>
    <w:rsid w:val="00CC2AA9"/>
    <w:rsid w:val="00CE2B8A"/>
    <w:rsid w:val="00D20E6E"/>
    <w:rsid w:val="00D21566"/>
    <w:rsid w:val="00D55629"/>
    <w:rsid w:val="00D65ED2"/>
    <w:rsid w:val="00D65EF7"/>
    <w:rsid w:val="00DB600A"/>
    <w:rsid w:val="00E27B69"/>
    <w:rsid w:val="00F648E4"/>
    <w:rsid w:val="00F6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CDC0-4AED-4EA7-9E73-9862EC92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1944</Words>
  <Characters>11083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Klasifikacija: EKSTERNO</cp:keywords>
  <dc:description/>
  <cp:lastModifiedBy>R.Mitrovic</cp:lastModifiedBy>
  <cp:revision>13</cp:revision>
  <dcterms:created xsi:type="dcterms:W3CDTF">2021-06-15T07:27:00Z</dcterms:created>
  <dcterms:modified xsi:type="dcterms:W3CDTF">2021-06-16T07:35:00Z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