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Opštinska uprava opštine Vrnjačka Banja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100917981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Kruševačka 17</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Vrnjačka Banja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23.06.2021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400-1353/21</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Opštinska uprava opštine Vrnjačka Banja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400-1353/21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Korišćenje softvera " Mihajlo Pupin"</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F26-0000617</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72260000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Korišćenje softvera " Mihajlo Pupin"</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833.333,00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INSTITUT MIHAJLO PUPIN DOO BEOGRAD</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100008310</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Volgina, 15</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(Zvezdara)</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11060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798.000,00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957.600,00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1"/>
        <w:gridCol w:w="4422"/>
        <w:gridCol w:w="10964"/>
        <w:gridCol w:w="13"/>
        <w:gridCol w:w="179"/>
      </w:tblGrid>
      <w:tr>
        <w:tblPrEx>
          <w:tblCellMar>
            <w:left w:w="0" w:type="dxa"/>
            <w:right w:w="0" w:type="dxa"/>
          </w:tblCellMar>
          <w:tblLook w:val="0000"/>
        </w:tblPrEx>
        <w:trPr>
          <w:trHeight w:val="453"/>
        </w:trPr>
        <w:tc>
          <w:tcPr>
            <w:tcW w:w="15589" w:type="dxa"/>
            <w:gridSpan w:val="5"/>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Korišćenje softvera " Mihajlo Pupin"</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400-1353/21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Pregovarački postupak bez objavljivanja javnog poziva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400-1353/21, 02.06.2021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833.333,00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72260000-Usluge povezane sa softverom</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Nabavka usluge korišćenja i održavanja softvera za informacioni sistem lokalne poreske administracije.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Pravni osnov za pokretanje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Član 61. stav 1. tač. 1) podtač. (3)-samo određeni privredni subjekt može da isporuči dobra, pruži usluge ili izvede radove - zbog zaštite ekskluzivnih prava, uključujući prava intelektualne svojine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pravnog osnova za pokretanje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 xml:space="preserve">Na osnovu čl. 6 .Zakona o finansiranju lokalne samouprave („Sl.glasnik RS“, br. 62/2006, 47/2011, 93/2012, 99/2013 - usklađeni din. izn., 125/2014 - usklađeni din. izn., 95/2015 - usklađeni din. izn., 83/2016, 91/2016 - usklađeni din. izn., 104/2016 - dr. zakon i 96/2017 - usklađeni din. izn. 96/2017 - usklađeni din. izn., 89/2018 - usklađeni din. izn. , 95/2018 - dr. Zakon, 86/2019 - usklađeni din. Izn i 126/2020- usklađeni din. Izn), jedinici lokalne samouprave pripadaju izvorni prihodi ostvareni na njenoj teritoriji. </w:t>
                    <w:br/>
                    <w:t xml:space="preserve"> U tom smislu, na nivou jedinica lokalnih samouprava formirane su lokalne poreske administracije čija  nadležnost jeste utvrđivanje i praćenje lokalnih izvornih prihoda koji su ranije bili povereni Ministarstvu finansija –Poreskoj upravi.</w:t>
                    <w:br/>
                    <w:t xml:space="preserve">Shodno prednje navedenom, Opština Vrnjačka Banja je proces fiskalne decentralizacije započela 2007.god., kao jedna od prvih pet opština u Republici koje su krenule samostalno da utvrđuju i administriraju lokalne izvorne prihode. </w:t>
                    <w:br/>
                    <w:t>Za potrebe obavljanja ovih poslova, u početku  su tražena najadekvatnija informaciona rešenja, koja bi omogućila kvalitetan servis poreskim obveznicima, smanjila nivo administriranja, a povećala efikasnost korišćenja vremena za izmirenje poreskih obaveza.</w:t>
                    <w:br/>
                    <w:t xml:space="preserve">Imajući u vidu promenu nadležnosti u utvrđivanju i administriranju izvornih lokalnih prihoda, preuzeta je baza podataka od Poreske uprave. Apilikativni softver - Informacioni sistem lokalne poreske administracije, koji je podržavao bazu podataka, nastavljen je da se koristi, po osnovu čega je,  Opština Vrnjačka Banja sa Institutom „Mihajlo Pupin“ doo Beograd, zaključila Ugovor br.110-93/10 od 20.05.2010.god. </w:t>
                    <w:br/>
                    <w:t>Potvrdom Zavoda za intelektualnu svojinu Repiblike Srbije, br.2014/162-A-2013/02085 od 16.01.2014.godine potvrđeno je da je Instutut „ Mihajlo Pupin“, doo, Beograd nosilac autorskog prava na „Informacionim sistemom lokalne poreske administarcije“ – IS LPA.</w:t>
                    <w:br/>
                    <w:t xml:space="preserve">U 2016., 2017.god., 2018.god.,2019.god. i 2020.god., Opština Vrnjačka Banja je, nakon dobijenih pozitivnih Mišljenja Uprave  za javne nabavke RS br. 404-02-1335/16 od 27.05.2016.god. ,  br.404-02-453/17 od 17.02.2017.god., 404-02-458/18 od 02.02.2018.god., 404-02-1556/19 od 10.04.2019.godine i 404-02-696/20  od 14.02.2020.godine o osnovanosti primene  pregovaračkog postupka bez objavljivanja poziva za podnošenje ponuda predviđenih članom 36. Stav 1. Tačka 2) ZJN, sprovela postupak predmetne javne nabavke i sa Institutom „Mihajlo Pupin“ doo iz Beograda zaključila Ugovor o vršenju usluga održavanja informacionog sistema LPA br. 110-219/16 od 15.08.2016.god. , Ugovor o vršenju usluga održavanja informacionog sistema LPA br.110-204/17 od 04.07.2017.god., Ugovor o vršenju usluga održavanja informacionog sistema LPA br.110-180/18 od 27.06.2018.godine i Ugovor o vršenju usluga održavanja informacionog sistema LPA br.110-204/19 od 26.06.2019.godine i Ugovor o vršenju usluga održavanja informacionog sistema LPA br.110-194/20 od 26.06.2020.godine. </w:t>
                    <w:br/>
                    <w:br/>
                    <w:t>S obzirom da, aplikativni sotfer - „Informacioni sistem lokalne poreske administarcije“ – IS LPA  Opština Vrnjaka Banja koristi duži niz godina, da je uspostavljena adekvatna baza podataka, a Instutut „ Mihajlo Pupin“  je nosilac autorskog  prava na ovaj softver, dostavljamo zahtev za mišljenje o osnovanosti primene pregovaračkog postupka bez objavljivanja poziva za podnošenje ponuda iz čl. 61. stav.1.tačka 2. Zakona o javnim nabavkama („Sl.glasnik RS“, 91/2019).</w:t>
                    <w:br/>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F26-0000617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Obaveštenje o sprovođenju pregovaračkog postupka bez objavljivanja javnog poziva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03.06.2021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14.06.2021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4"/>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Suzana Crnoglavac</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Ivana Jovanović,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Ružica Mitrović,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Vladimir Stamenčić,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Ivana Stanojević,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Snežana Miljević, zamenik člana</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0"/>
        </w:trPr>
        <w:tc>
          <w:tcPr>
            <w:tcW w:w="15410" w:type="dxa"/>
            <w:gridSpan w:val="4"/>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color w:val="FFFFFF"/>
                      <w:sz w:val="28"/>
                      <w:szCs w:val="20"/>
                    </w:rPr>
                    <w:t>Faza postupka: Početne ponude</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15397"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i/>
                                  <w:color w:val="000000"/>
                                  <w:sz w:val="20"/>
                                  <w:szCs w:val="20"/>
                                </w:rPr>
                                <w:t>Ovo je konačna faza podnošenja ponuda u postupku</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Korišćenje softvera " Mihajlo Pupin"</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15386" w:type="dxa"/>
            <w:gridSpan w:val="2"/>
            <w:shd w:val="clear" w:color="auto" w:fill="auto"/>
          </w:tcPr>
          <w:tbl>
            <w:tblPr>
              <w:tblStyle w:val="TableNormal"/>
              <w:tblInd w:w="39" w:type="dxa"/>
              <w:tblCellMar>
                <w:left w:w="0" w:type="dxa"/>
                <w:right w:w="0" w:type="dxa"/>
              </w:tblCellMar>
              <w:tblLook w:val="0000"/>
            </w:tblPr>
            <w:tblGrid>
              <w:gridCol w:w="3741"/>
              <w:gridCol w:w="11644"/>
            </w:tblGrid>
            <w:tr>
              <w:tblPrEx>
                <w:tblInd w:w="39" w:type="dxa"/>
                <w:tblCellMar>
                  <w:left w:w="0" w:type="dxa"/>
                  <w:right w:w="0" w:type="dxa"/>
                </w:tblCellMar>
                <w:tblLook w:val="0000"/>
              </w:tblPrEx>
              <w:trPr>
                <w:trHeight w:val="375"/>
              </w:trPr>
              <w:tc>
                <w:tcPr>
                  <w:tcW w:w="15385"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Pozivi</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upućivanja poziva:</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09.06.2021 12:16:49</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za podnošenje:</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14.06.2021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tbl>
            <w:tblPr>
              <w:tblStyle w:val="TableNormal"/>
              <w:tblInd w:w="39" w:type="dxa"/>
              <w:tblCellMar>
                <w:left w:w="0" w:type="dxa"/>
                <w:right w:w="0" w:type="dxa"/>
              </w:tblCellMar>
              <w:tblLook w:val="0000"/>
            </w:tblPr>
            <w:tblGrid>
              <w:gridCol w:w="3741"/>
              <w:gridCol w:w="680"/>
            </w:tblGrid>
            <w:tr>
              <w:tblPrEx>
                <w:tblInd w:w="39" w:type="dxa"/>
                <w:tblCellMar>
                  <w:left w:w="0" w:type="dxa"/>
                  <w:right w:w="0" w:type="dxa"/>
                </w:tblCellMar>
                <w:tblLook w:val="0000"/>
              </w:tblPrEx>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Pozvani privredni subjekti:</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extDirection w:val="tbRlV"/>
                </w:tcPr>
                <w:p>
                  <w:pPr>
                    <w:spacing w:before="0" w:after="0"/>
                    <w:rPr>
                      <w:rFonts w:ascii="Times New Roman" w:eastAsia="Times New Roman" w:hAnsi="Times New Roman"/>
                      <w:sz w:val="20"/>
                      <w:szCs w:val="20"/>
                    </w:rPr>
                  </w:pPr>
                  <w:r>
                    <w:rPr>
                      <w:rFonts w:ascii="Arial" w:eastAsia="Arial" w:hAnsi="Arial"/>
                      <w:b/>
                      <w:color w:val="000000"/>
                      <w:sz w:val="20"/>
                      <w:szCs w:val="20"/>
                    </w:rPr>
                    <w:t>100008310</w:t>
                    <w:br/>
                    <w:t>INSTITUT MIHAJLO PUPIN DOO BEOGRAD</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Korišćenje softvera " Mihajlo Pupin"</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X</w:t>
                  </w:r>
                </w:p>
              </w:tc>
            </w:tr>
          </w:tbl>
          <w:p>
            <w:pPr>
              <w:spacing w:before="0" w:after="0"/>
              <w:rPr>
                <w:rFonts w:ascii="Times New Roman" w:eastAsia="Times New Roman" w:hAnsi="Times New Roman"/>
                <w:sz w:val="20"/>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14.06.2021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14.06.2021 12:06:16</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INSTITUT MIHAJLO PUPIN DOO BEOGRAD, Volgina, 15, 11060, Beograd (Zvezdara),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1269/1-21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11.6.2021. 12:01:21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INSTITUT MIHAJLO PUPIN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957600.00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roku od 45 dana od dana ispostavljanja fakture, uplatom na račun Izvršioca.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INSTITUT MIHAJLO PUPIN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957600.00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roku od 45 dana od dana ispostavljanja fakture, uplatom na račun Izvršioca.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INSTITUT MIHAJLO PUPIN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798.000,00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957.600,00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INSTITUT MIHAJLO PUPIN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798.000,00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Komisija konstatuje da je utvrđeno da su se na strani naručioca, a u skladu sa čl.146 ZJN stekli uslovi za dodelu ugovora, te predlaže naručiocu da ugovor o javnoj nabavci usluge korišćenja i održavanja softvera za lokalnu poresku administraciju u pregovaračkom postupku , dodeli ponuđaču  Institut "Mihajlo Pupin", iz Beograda u iznosu ponuđene cene od 798.000,00 dinara bez PDV-a, odnosno 957.600,00 dinara sa PDV-om.</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67"/>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Kratak opis toka pregovora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              Nakon postupka otvaranja ponude ( otvaranje ponuda 14.06.2021.g. o čemi je sačinjen i Zapisnik sa otvaranja ponuda ), Naručilac je dana 15.06.2021.godine   ponuđaču  Institut „Mihajlo Pupin“ uputio poziv za podnošenje ponude u fazi pregovaranja, sa rokom za podnošenje: 17.06.2021.godine do 12,00 časova. </w:t>
                    <w:br/>
                    <w:t>Postupak pregovaranja sprovodi se putem Portala javnih nabavki.</w:t>
                    <w:br/>
                    <w:t xml:space="preserve">            U roku za pondošenje ponuda za fazu pregovaranja, ponuđač Institut „Mihajlo Pupin“, je putem Portala javnih nabavki podneo ponudu o čemu je i Zapisnik o otvaranju ponuda od 17.06.2021.godine. </w:t>
                    <w:br/>
                    <w:br/>
                    <w:t xml:space="preserve">Elementi o kojima se pregovara, a koji su definisani konkursnom dokumentacijom: </w:t>
                    <w:br/>
                    <w:br/>
                    <w:t>1. Predmet  pregovaranja  je  ukupna  ponuđena    cena.</w:t>
                    <w:br/>
                    <w:t>2. Ponuđač u pregovaranju ne može ponuditi cenu veću od cene koju je dao u svojoj ponudi.</w:t>
                    <w:br/>
                    <w:br/>
                    <w:t>U fazi pregovaranja, ponuđač je ponudio ukupnu cenu od 798.000,00 dinara bez PDV-a, a što je identična cena koju je ponuđač ponudio u svojoj ponudi od 14.06.2021. god.</w:t>
                    <w:br/>
                    <w:t xml:space="preserve">          Komisija konstatuje da su elementi pregovaranja utvrđeni kao konačni sa ponuđenom cenom  na mesečnom nivou  od 66.500,00 dinara bez PDV –a , što za period ugovornja od 12 meseci iznosi 798.000,00dinara bez PDV-a, odnosno 957.600,00 dinara sa PDV-om.</w:t>
                    <w:br/>
                  </w: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tbl>
      <w:tblPr>
        <w:tblStyle w:val="TableNormal"/>
        <w:tblCellMar>
          <w:left w:w="0" w:type="dxa"/>
          <w:right w:w="0" w:type="dxa"/>
        </w:tblCellMar>
        <w:tblLook w:val="0000"/>
      </w:tblPr>
      <w:tblGrid>
        <w:gridCol w:w="11"/>
        <w:gridCol w:w="4422"/>
        <w:gridCol w:w="10964"/>
        <w:gridCol w:w="13"/>
      </w:tblGrid>
      <w:tr>
        <w:tblPrEx>
          <w:tblCellMar>
            <w:left w:w="0" w:type="dxa"/>
            <w:right w:w="0" w:type="dxa"/>
          </w:tblCellMar>
          <w:tblLook w:val="0000"/>
        </w:tblPrEx>
        <w:trPr>
          <w:trHeight w:val="453"/>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0"/>
        </w:trPr>
        <w:tc>
          <w:tcPr>
            <w:tcW w:w="15410" w:type="dxa"/>
            <w:gridSpan w:val="4"/>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32"/>
              </w:trPr>
              <w:tc>
                <w:tcPr>
                  <w:tcW w:w="15411" w:type="dxa"/>
                  <w:shd w:val="clear" w:color="auto" w:fill="8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color w:val="FFFFFF"/>
                      <w:sz w:val="28"/>
                      <w:szCs w:val="20"/>
                    </w:rPr>
                    <w:t>Faza postupka: Pregovaranje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c>
          <w:tcPr>
            <w:tcW w:w="15397" w:type="dxa"/>
            <w:gridSpan w:val="3"/>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Korišćenje softvera " Mihajlo Pupin"</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p>
            <w:pPr>
              <w:spacing w:before="0" w:after="0"/>
              <w:rPr>
                <w:rFonts w:ascii="Times New Roman" w:eastAsia="Times New Roman" w:hAnsi="Times New Roman"/>
                <w:sz w:val="2"/>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15386" w:type="dxa"/>
            <w:gridSpan w:val="2"/>
            <w:shd w:val="clear" w:color="auto" w:fill="auto"/>
          </w:tcPr>
          <w:tbl>
            <w:tblPr>
              <w:tblStyle w:val="TableNormal"/>
              <w:tblInd w:w="39" w:type="dxa"/>
              <w:tblCellMar>
                <w:left w:w="0" w:type="dxa"/>
                <w:right w:w="0" w:type="dxa"/>
              </w:tblCellMar>
              <w:tblLook w:val="0000"/>
            </w:tblPr>
            <w:tblGrid>
              <w:gridCol w:w="3741"/>
              <w:gridCol w:w="11644"/>
            </w:tblGrid>
            <w:tr>
              <w:tblPrEx>
                <w:tblInd w:w="39" w:type="dxa"/>
                <w:tblCellMar>
                  <w:left w:w="0" w:type="dxa"/>
                  <w:right w:w="0" w:type="dxa"/>
                </w:tblCellMar>
                <w:tblLook w:val="0000"/>
              </w:tblPrEx>
              <w:trPr>
                <w:trHeight w:val="375"/>
              </w:trPr>
              <w:tc>
                <w:tcPr>
                  <w:tcW w:w="15385"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Pozivi</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upućivanja poziva:</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15.06.2021 09:34:30</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za podnošenje:</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17.06.2021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1" w:type="dxa"/>
            <w:shd w:val="clear" w:color="auto" w:fill="auto"/>
          </w:tcPr>
          <w:p>
            <w:pPr>
              <w:spacing w:before="0" w:after="0"/>
              <w:rPr>
                <w:rFonts w:ascii="Times New Roman" w:eastAsia="Times New Roman" w:hAnsi="Times New Roman"/>
                <w:sz w:val="2"/>
                <w:szCs w:val="20"/>
              </w:rPr>
            </w:pPr>
          </w:p>
        </w:tc>
        <w:tc>
          <w:tcPr>
            <w:tcW w:w="4422" w:type="dxa"/>
            <w:shd w:val="clear" w:color="auto" w:fill="auto"/>
          </w:tcPr>
          <w:tbl>
            <w:tblPr>
              <w:tblStyle w:val="TableNormal"/>
              <w:tblInd w:w="39" w:type="dxa"/>
              <w:tblCellMar>
                <w:left w:w="0" w:type="dxa"/>
                <w:right w:w="0" w:type="dxa"/>
              </w:tblCellMar>
              <w:tblLook w:val="0000"/>
            </w:tblPr>
            <w:tblGrid>
              <w:gridCol w:w="3741"/>
              <w:gridCol w:w="680"/>
            </w:tblGrid>
            <w:tr>
              <w:tblPrEx>
                <w:tblInd w:w="39" w:type="dxa"/>
                <w:tblCellMar>
                  <w:left w:w="0" w:type="dxa"/>
                  <w:right w:w="0" w:type="dxa"/>
                </w:tblCellMar>
                <w:tblLook w:val="0000"/>
              </w:tblPrEx>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Pozvani privredni subjekti:</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extDirection w:val="tbRlV"/>
                </w:tcPr>
                <w:p>
                  <w:pPr>
                    <w:spacing w:before="0" w:after="0"/>
                    <w:rPr>
                      <w:rFonts w:ascii="Times New Roman" w:eastAsia="Times New Roman" w:hAnsi="Times New Roman"/>
                      <w:sz w:val="20"/>
                      <w:szCs w:val="20"/>
                    </w:rPr>
                  </w:pPr>
                  <w:r>
                    <w:rPr>
                      <w:rFonts w:ascii="Arial" w:eastAsia="Arial" w:hAnsi="Arial"/>
                      <w:b/>
                      <w:color w:val="000000"/>
                      <w:sz w:val="20"/>
                      <w:szCs w:val="20"/>
                    </w:rPr>
                    <w:t>100008310</w:t>
                    <w:br/>
                    <w:t>INSTITUT MIHAJLO PUPIN DOO BEOGRAD</w:t>
                  </w:r>
                </w:p>
              </w:tc>
            </w:tr>
            <w:tr>
              <w:tblPrEx>
                <w:tblInd w:w="39" w:type="dxa"/>
                <w:tblCellMar>
                  <w:left w:w="0" w:type="dxa"/>
                  <w:right w:w="0" w:type="dxa"/>
                </w:tblCellMar>
                <w:tblLook w:val="0000"/>
              </w:tblPrEx>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Korišćenje softvera " Mihajlo Pupin"</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X</w:t>
                  </w:r>
                </w:p>
              </w:tc>
            </w:tr>
          </w:tbl>
          <w:p>
            <w:pPr>
              <w:spacing w:before="0" w:after="0"/>
              <w:rPr>
                <w:rFonts w:ascii="Times New Roman" w:eastAsia="Times New Roman" w:hAnsi="Times New Roman"/>
                <w:sz w:val="20"/>
                <w:szCs w:val="20"/>
              </w:rPr>
            </w:pPr>
          </w:p>
        </w:tc>
        <w:tc>
          <w:tcPr>
            <w:tcW w:w="1096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17.06.2021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17.06.2021 12:01:54</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INSTITUT MIHAJLO PUPIN DOO BEOGRAD, Volgina, 15, 11060, Beograd (Zvezdara),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1269/2-21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16.6.2021. 10:55:23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INSTITUT MIHAJLO PUPIN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957600.00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Do 10-tog u mesecu, za prethodni mesec, a na osnovu izdate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INSTITUT MIHAJLO PUPIN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798000.00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957600.00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Do 10-tog u mesecu, za prethodni mesec, a na osnovu izdate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INSTITUT MIHAJLO PUPIN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798.000,00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957.600,00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243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3479"/>
                    <w:gridCol w:w="1917"/>
                    <w:gridCol w:w="13"/>
                  </w:tblGrid>
                  <w:tr>
                    <w:tblPrEx>
                      <w:tblCellMar>
                        <w:left w:w="0" w:type="dxa"/>
                        <w:right w:w="0" w:type="dxa"/>
                      </w:tblCellMar>
                      <w:tblLook w:val="0000"/>
                    </w:tblPrEx>
                    <w:tc>
                      <w:tcPr>
                        <w:tcW w:w="15396" w:type="dxa"/>
                        <w:gridSpan w:val="2"/>
                        <w:shd w:val="clear" w:color="auto" w:fill="auto"/>
                      </w:tcPr>
                      <w:tbl>
                        <w:tblPr>
                          <w:tblStyle w:val="TableNormal"/>
                          <w:tblInd w:w="39" w:type="dxa"/>
                          <w:tblCellMar>
                            <w:left w:w="0" w:type="dxa"/>
                            <w:right w:w="0" w:type="dxa"/>
                          </w:tblCellMar>
                          <w:tblLook w:val="0000"/>
                        </w:tblPr>
                        <w:tblGrid>
                          <w:gridCol w:w="3738"/>
                          <w:gridCol w:w="11601"/>
                        </w:tblGrid>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13479" w:type="dxa"/>
                        <w:shd w:val="clear" w:color="auto" w:fill="auto"/>
                      </w:tcPr>
                      <w:p>
                        <w:pPr>
                          <w:spacing w:before="0" w:after="0"/>
                          <w:rPr>
                            <w:rFonts w:ascii="Times New Roman" w:eastAsia="Times New Roman" w:hAnsi="Times New Roman"/>
                            <w:sz w:val="2"/>
                            <w:szCs w:val="20"/>
                          </w:rPr>
                        </w:pPr>
                      </w:p>
                    </w:tc>
                    <w:tc>
                      <w:tcPr>
                        <w:tcW w:w="191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3479" w:type="dxa"/>
                        <w:shd w:val="clear" w:color="auto" w:fill="auto"/>
                      </w:tcPr>
                      <w:tbl>
                        <w:tblPr>
                          <w:tblStyle w:val="TableNormal"/>
                          <w:tblInd w:w="39" w:type="dxa"/>
                          <w:tblCellMar>
                            <w:left w:w="0" w:type="dxa"/>
                            <w:right w:w="0" w:type="dxa"/>
                          </w:tblCellMar>
                          <w:tblLook w:val="0000"/>
                        </w:tblPr>
                        <w:tblGrid>
                          <w:gridCol w:w="4520"/>
                          <w:gridCol w:w="1621"/>
                          <w:gridCol w:w="7338"/>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INSTITUT MIHAJLO PUPIN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798.000,00 RSD</w:t>
                              </w:r>
                            </w:p>
                          </w:tc>
                        </w:tr>
                      </w:tbl>
                      <w:p>
                        <w:pPr>
                          <w:spacing w:before="0" w:after="0"/>
                          <w:rPr>
                            <w:rFonts w:ascii="Times New Roman" w:eastAsia="Times New Roman" w:hAnsi="Times New Roman"/>
                            <w:sz w:val="20"/>
                            <w:szCs w:val="20"/>
                          </w:rPr>
                        </w:pPr>
                      </w:p>
                    </w:tc>
                    <w:tc>
                      <w:tcPr>
                        <w:tcW w:w="191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4"/>
                    </w:trPr>
                    <w:tc>
                      <w:tcPr>
                        <w:tcW w:w="13479" w:type="dxa"/>
                        <w:shd w:val="clear" w:color="auto" w:fill="auto"/>
                      </w:tcPr>
                      <w:p>
                        <w:pPr>
                          <w:spacing w:before="0" w:after="0"/>
                          <w:rPr>
                            <w:rFonts w:ascii="Times New Roman" w:eastAsia="Times New Roman" w:hAnsi="Times New Roman"/>
                            <w:sz w:val="2"/>
                            <w:szCs w:val="20"/>
                          </w:rPr>
                        </w:pPr>
                      </w:p>
                    </w:tc>
                    <w:tc>
                      <w:tcPr>
                        <w:tcW w:w="191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6"/>
          <w:headerReference w:type="default" r:id="rId17"/>
          <w:footerReference w:type="even" r:id="rId18"/>
          <w:footerReference w:type="default" r:id="rId19"/>
          <w:headerReference w:type="first" r:id="rId20"/>
          <w:footerReference w:type="first" r:id="rId21"/>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rPr>
      </w:pPr>
      <w:bookmarkStart w:id="31" w:name="_Hlk32839505_0"/>
      <w:bookmarkStart w:id="32" w:name="1_0"/>
      <w:bookmarkEnd w:id="32"/>
      <w:r>
        <w:rPr>
          <w:rFonts w:ascii="Calibri" w:eastAsia="Calibri" w:hAnsi="Calibri" w:cs="Calibri"/>
        </w:rPr>
        <w:t>Komisija konstatuje da je utvrđeno da su se na strani naručioca, a u skladu sa čl.146 ZJN stekli uslovi za dodelu ugovora, te predlaže naručiocu da ugovor o javnoj nabavci usluge korišćenja i održavanja softvera za lokalnu poresku administraciju u pregovaračkom postupku , dodeli ponuđaču  Institut "Mihajlo Pupin", iz Beograda u iznosu ponuđene cene od 798.000,00 dinara bez PDV-a, odnosno 957.600,00 dinara sa PDV-om.</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22"/>
      <w:headerReference w:type="default" r:id="rId23"/>
      <w:footerReference w:type="even" r:id="rId24"/>
      <w:footerReference w:type="default" r:id="rId25"/>
      <w:headerReference w:type="first" r:id="rId26"/>
      <w:footerReference w:type="first" r:id="rId27"/>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