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Pr="0096239F" w:rsidRDefault="0096239F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32839505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Општинска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управа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општине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Врњачка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Бања</w:t>
      </w:r>
      <w:proofErr w:type="spellEnd"/>
    </w:p>
    <w:p w:rsidR="001F55F6" w:rsidRPr="0096239F" w:rsidRDefault="0096239F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</w:t>
      </w:r>
      <w:proofErr w:type="gramStart"/>
      <w:r w:rsidR="00634ECE" w:rsidRPr="0096239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A1737" w:rsidRPr="0096239F">
        <w:rPr>
          <w:rFonts w:ascii="Times New Roman" w:hAnsi="Times New Roman" w:cs="Times New Roman"/>
          <w:sz w:val="24"/>
          <w:szCs w:val="24"/>
        </w:rPr>
        <w:t> </w:t>
      </w:r>
      <w:bookmarkStart w:id="1" w:name="23"/>
      <w:bookmarkEnd w:id="1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>100917981</w:t>
      </w:r>
    </w:p>
    <w:p w:rsidR="001F55F6" w:rsidRPr="0096239F" w:rsidRDefault="0096239F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24"/>
      <w:bookmarkEnd w:id="2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Крушевачка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</w:p>
    <w:p w:rsidR="001F55F6" w:rsidRPr="0096239F" w:rsidRDefault="00634ECE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26"/>
      <w:bookmarkEnd w:id="3"/>
      <w:r w:rsidRPr="0096239F">
        <w:rPr>
          <w:rFonts w:ascii="Times New Roman" w:eastAsia="Calibri" w:hAnsi="Times New Roman" w:cs="Times New Roman"/>
          <w:b/>
          <w:sz w:val="24"/>
          <w:szCs w:val="24"/>
        </w:rPr>
        <w:t>36210</w:t>
      </w:r>
      <w:r w:rsidRPr="0096239F">
        <w:rPr>
          <w:rFonts w:ascii="Times New Roman" w:hAnsi="Times New Roman" w:cs="Times New Roman"/>
          <w:b/>
          <w:sz w:val="24"/>
          <w:szCs w:val="24"/>
        </w:rPr>
        <w:t> </w:t>
      </w:r>
      <w:bookmarkStart w:id="4" w:name="25"/>
      <w:bookmarkEnd w:id="4"/>
      <w:proofErr w:type="spellStart"/>
      <w:r w:rsidR="0096239F">
        <w:rPr>
          <w:rFonts w:ascii="Times New Roman" w:eastAsia="Calibri" w:hAnsi="Times New Roman" w:cs="Times New Roman"/>
          <w:b/>
          <w:sz w:val="24"/>
          <w:szCs w:val="24"/>
        </w:rPr>
        <w:t>Врњачка</w:t>
      </w:r>
      <w:proofErr w:type="spellEnd"/>
      <w:r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6239F">
        <w:rPr>
          <w:rFonts w:ascii="Times New Roman" w:eastAsia="Calibri" w:hAnsi="Times New Roman" w:cs="Times New Roman"/>
          <w:b/>
          <w:sz w:val="24"/>
          <w:szCs w:val="24"/>
        </w:rPr>
        <w:t>Бања</w:t>
      </w:r>
      <w:proofErr w:type="spellEnd"/>
    </w:p>
    <w:p w:rsidR="001F55F6" w:rsidRPr="0096239F" w:rsidRDefault="0096239F" w:rsidP="0096239F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sr-Latn-BA" w:eastAsia="lv-LV"/>
        </w:rPr>
      </w:pP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Република</w:t>
      </w:r>
      <w:r w:rsidR="00634ECE" w:rsidRPr="0096239F">
        <w:rPr>
          <w:rFonts w:ascii="Times New Roman" w:hAnsi="Times New Roman" w:cs="Times New Roman"/>
          <w:b/>
          <w:sz w:val="24"/>
          <w:szCs w:val="24"/>
          <w:lang w:val="sr-Latn-BA"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Србија</w:t>
      </w:r>
    </w:p>
    <w:p w:rsidR="001F55F6" w:rsidRPr="0096239F" w:rsidRDefault="0096239F" w:rsidP="0096239F">
      <w:pPr>
        <w:tabs>
          <w:tab w:val="left" w:pos="709"/>
        </w:tabs>
        <w:spacing w:before="120" w:after="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Датум</w:t>
      </w:r>
      <w:r w:rsidR="00634ECE" w:rsidRPr="0096239F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bookmarkStart w:id="5" w:name="9"/>
      <w:bookmarkEnd w:id="5"/>
      <w:r w:rsidR="00634ECE" w:rsidRPr="0096239F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10.05.2022</w:t>
      </w:r>
    </w:p>
    <w:p w:rsidR="001F55F6" w:rsidRPr="0096239F" w:rsidRDefault="0096239F" w:rsidP="001F55F6">
      <w:pPr>
        <w:tabs>
          <w:tab w:val="left" w:pos="709"/>
        </w:tabs>
        <w:spacing w:before="120" w:after="1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Број</w:t>
      </w:r>
      <w:r w:rsidR="00634ECE" w:rsidRPr="0096239F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bookmarkStart w:id="6" w:name="8"/>
      <w:bookmarkEnd w:id="6"/>
      <w:r w:rsidR="00634ECE" w:rsidRPr="0096239F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400-740/22</w:t>
      </w:r>
    </w:p>
    <w:p w:rsidR="001F55F6" w:rsidRPr="0096239F" w:rsidRDefault="0096239F" w:rsidP="00A9707B">
      <w:pPr>
        <w:spacing w:before="440" w:after="120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</w:pPr>
      <w:bookmarkStart w:id="7" w:name="7"/>
      <w:bookmarkEnd w:id="7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основу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члана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146.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став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1.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Закона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јавним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набавкама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(„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Службени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гласник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“,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број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91/19),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наручилац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доноси</w:t>
      </w:r>
      <w:r w:rsidR="00634ECE" w:rsidRPr="0096239F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,</w:t>
      </w:r>
    </w:p>
    <w:p w:rsidR="001F55F6" w:rsidRPr="0096239F" w:rsidRDefault="0096239F" w:rsidP="00A9707B">
      <w:pPr>
        <w:spacing w:before="440" w:after="44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8" w:name="_Hlk32839527"/>
      <w:r>
        <w:rPr>
          <w:rFonts w:ascii="Times New Roman" w:hAnsi="Times New Roman" w:cs="Times New Roman"/>
          <w:b/>
          <w:sz w:val="24"/>
          <w:szCs w:val="24"/>
          <w:lang w:val="sr-Latn-BA"/>
        </w:rPr>
        <w:t>ОДЛУКА</w:t>
      </w:r>
      <w:r w:rsidR="00634ECE" w:rsidRPr="0096239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634ECE" w:rsidRPr="0096239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ДОДЕЛИ</w:t>
      </w:r>
      <w:r w:rsidR="00634ECE" w:rsidRPr="0096239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УГОВОРА</w:t>
      </w:r>
      <w:bookmarkEnd w:id="8"/>
    </w:p>
    <w:p w:rsidR="001F55F6" w:rsidRPr="0096239F" w:rsidRDefault="0096239F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Наручилац</w:t>
      </w:r>
      <w:r w:rsidR="00634ECE" w:rsidRPr="0096239F">
        <w:rPr>
          <w:rFonts w:ascii="Times New Roman" w:hAnsi="Times New Roman"/>
          <w:b w:val="0"/>
          <w:lang w:val="sr-Latn-BA"/>
        </w:rPr>
        <w:t>:</w:t>
      </w:r>
      <w:r w:rsidR="00634ECE" w:rsidRPr="0096239F">
        <w:rPr>
          <w:rFonts w:ascii="Times New Roman" w:hAnsi="Times New Roman"/>
          <w:b w:val="0"/>
          <w:lang w:val="sr-Latn-BA"/>
        </w:rPr>
        <w:tab/>
      </w:r>
      <w:bookmarkStart w:id="9" w:name="22"/>
      <w:bookmarkEnd w:id="9"/>
      <w:r>
        <w:rPr>
          <w:rFonts w:ascii="Times New Roman" w:eastAsia="Calibri" w:hAnsi="Times New Roman"/>
          <w:lang w:val="sr-Latn-BA"/>
        </w:rPr>
        <w:t>Општинска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управа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општине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Врњачка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Бања</w:t>
      </w:r>
    </w:p>
    <w:p w:rsidR="001F55F6" w:rsidRPr="0096239F" w:rsidRDefault="0096239F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Референтни</w:t>
      </w:r>
      <w:r w:rsidR="00634ECE" w:rsidRPr="0096239F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број</w:t>
      </w:r>
      <w:r w:rsidR="00634ECE" w:rsidRPr="0096239F">
        <w:rPr>
          <w:rFonts w:ascii="Times New Roman" w:hAnsi="Times New Roman"/>
          <w:b w:val="0"/>
          <w:lang w:val="sr-Latn-BA"/>
        </w:rPr>
        <w:t>:</w:t>
      </w:r>
      <w:r w:rsidR="00634ECE" w:rsidRPr="0096239F">
        <w:rPr>
          <w:rFonts w:ascii="Times New Roman" w:hAnsi="Times New Roman"/>
          <w:b w:val="0"/>
          <w:lang w:val="sr-Latn-BA"/>
        </w:rPr>
        <w:tab/>
      </w:r>
      <w:bookmarkStart w:id="10" w:name="19"/>
      <w:bookmarkEnd w:id="10"/>
      <w:r w:rsidR="00634ECE" w:rsidRPr="0096239F">
        <w:rPr>
          <w:rFonts w:ascii="Times New Roman" w:eastAsia="Calibri" w:hAnsi="Times New Roman"/>
          <w:lang w:val="sr-Latn-BA"/>
        </w:rPr>
        <w:t>400-740/22</w:t>
      </w:r>
    </w:p>
    <w:p w:rsidR="001F55F6" w:rsidRPr="0096239F" w:rsidRDefault="0096239F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Назив</w:t>
      </w:r>
      <w:r w:rsidR="00634ECE" w:rsidRPr="0096239F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набавке</w:t>
      </w:r>
      <w:r w:rsidR="00634ECE" w:rsidRPr="0096239F">
        <w:rPr>
          <w:rFonts w:ascii="Times New Roman" w:hAnsi="Times New Roman"/>
          <w:b w:val="0"/>
          <w:lang w:val="sr-Latn-BA"/>
        </w:rPr>
        <w:t>:</w:t>
      </w:r>
      <w:r w:rsidR="00634ECE" w:rsidRPr="0096239F">
        <w:rPr>
          <w:rFonts w:ascii="Times New Roman" w:hAnsi="Times New Roman"/>
          <w:b w:val="0"/>
          <w:lang w:val="sr-Latn-BA"/>
        </w:rPr>
        <w:tab/>
      </w:r>
      <w:bookmarkStart w:id="11" w:name="18"/>
      <w:bookmarkEnd w:id="11"/>
      <w:r>
        <w:rPr>
          <w:rFonts w:ascii="Times New Roman" w:eastAsia="Calibri" w:hAnsi="Times New Roman"/>
          <w:lang w:val="sr-Latn-BA"/>
        </w:rPr>
        <w:t>Услуга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објављивања</w:t>
      </w:r>
      <w:r w:rsidR="00634ECE" w:rsidRPr="0096239F">
        <w:rPr>
          <w:rFonts w:ascii="Times New Roman" w:eastAsia="Calibri" w:hAnsi="Times New Roman"/>
          <w:lang w:val="sr-Latn-BA"/>
        </w:rPr>
        <w:t xml:space="preserve">  </w:t>
      </w:r>
      <w:r>
        <w:rPr>
          <w:rFonts w:ascii="Times New Roman" w:eastAsia="Calibri" w:hAnsi="Times New Roman"/>
          <w:lang w:val="sr-Latn-BA"/>
        </w:rPr>
        <w:t>огласа</w:t>
      </w:r>
      <w:r w:rsidR="00634ECE" w:rsidRPr="0096239F">
        <w:rPr>
          <w:rFonts w:ascii="Times New Roman" w:eastAsia="Calibri" w:hAnsi="Times New Roman"/>
          <w:lang w:val="sr-Latn-BA"/>
        </w:rPr>
        <w:t xml:space="preserve">, </w:t>
      </w:r>
      <w:r>
        <w:rPr>
          <w:rFonts w:ascii="Times New Roman" w:eastAsia="Calibri" w:hAnsi="Times New Roman"/>
          <w:lang w:val="sr-Latn-BA"/>
        </w:rPr>
        <w:t>јавних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презентација</w:t>
      </w:r>
      <w:r w:rsidR="00634ECE" w:rsidRPr="0096239F">
        <w:rPr>
          <w:rFonts w:ascii="Times New Roman" w:eastAsia="Calibri" w:hAnsi="Times New Roman"/>
          <w:lang w:val="sr-Latn-BA"/>
        </w:rPr>
        <w:t xml:space="preserve">, </w:t>
      </w:r>
      <w:r>
        <w:rPr>
          <w:rFonts w:ascii="Times New Roman" w:eastAsia="Calibri" w:hAnsi="Times New Roman"/>
          <w:lang w:val="sr-Latn-BA"/>
        </w:rPr>
        <w:t>обавештења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и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других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аката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који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проистичу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из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делогруга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рада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органа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Општине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Врњачка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Бања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у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дневним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новинама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са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националном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покривеношћу</w:t>
      </w:r>
      <w:r w:rsidR="00634ECE" w:rsidRPr="0096239F">
        <w:rPr>
          <w:rFonts w:ascii="Times New Roman" w:eastAsia="Calibri" w:hAnsi="Times New Roman"/>
          <w:lang w:val="sr-Latn-BA"/>
        </w:rPr>
        <w:t>.</w:t>
      </w:r>
    </w:p>
    <w:p w:rsidR="001F55F6" w:rsidRPr="0096239F" w:rsidRDefault="0096239F" w:rsidP="003406EF">
      <w:pPr>
        <w:tabs>
          <w:tab w:val="left" w:pos="3119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огласа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Порталу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јавних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набавки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3406EF" w:rsidRPr="0096239F">
        <w:rPr>
          <w:rFonts w:ascii="Times New Roman" w:hAnsi="Times New Roman" w:cs="Times New Roman"/>
          <w:b/>
          <w:sz w:val="24"/>
          <w:szCs w:val="24"/>
        </w:rPr>
        <w:tab/>
      </w:r>
      <w:bookmarkStart w:id="12" w:name="17"/>
      <w:bookmarkEnd w:id="12"/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2022/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С</w:t>
      </w:r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Ф</w:t>
      </w:r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02-0012954</w:t>
      </w:r>
    </w:p>
    <w:p w:rsidR="001F55F6" w:rsidRPr="0096239F" w:rsidRDefault="0096239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Врста</w:t>
      </w:r>
      <w:r w:rsidR="00634ECE" w:rsidRPr="0096239F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уговора</w:t>
      </w:r>
      <w:r w:rsidR="003406EF" w:rsidRPr="0096239F">
        <w:rPr>
          <w:rFonts w:ascii="Times New Roman" w:hAnsi="Times New Roman"/>
          <w:b w:val="0"/>
          <w:lang w:val="sr-Latn-BA"/>
        </w:rPr>
        <w:tab/>
      </w:r>
      <w:r w:rsidR="00634ECE" w:rsidRPr="0096239F">
        <w:rPr>
          <w:rFonts w:ascii="Times New Roman" w:hAnsi="Times New Roman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="00634ECE" w:rsidRPr="0096239F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634ECE" w:rsidRPr="0096239F">
        <w:rPr>
          <w:rFonts w:ascii="Times New Roman" w:hAnsi="Times New Roman"/>
        </w:rPr>
      </w:r>
      <w:r w:rsidR="00634ECE" w:rsidRPr="0096239F">
        <w:rPr>
          <w:rFonts w:ascii="Times New Roman" w:hAnsi="Times New Roman"/>
        </w:rPr>
        <w:fldChar w:fldCharType="separate"/>
      </w:r>
      <w:r w:rsidR="00634ECE" w:rsidRPr="0096239F">
        <w:rPr>
          <w:rFonts w:ascii="Times New Roman" w:hAnsi="Times New Roman"/>
        </w:rPr>
        <w:fldChar w:fldCharType="end"/>
      </w:r>
      <w:bookmarkEnd w:id="13"/>
      <w:r w:rsidR="00634ECE" w:rsidRPr="0096239F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Радови</w:t>
      </w:r>
      <w:r w:rsidR="003406EF" w:rsidRPr="0096239F">
        <w:rPr>
          <w:rFonts w:ascii="Times New Roman" w:hAnsi="Times New Roman"/>
          <w:b w:val="0"/>
          <w:lang w:val="sr-Latn-BA"/>
        </w:rPr>
        <w:tab/>
      </w:r>
      <w:r w:rsidR="00634ECE" w:rsidRPr="0096239F">
        <w:rPr>
          <w:rFonts w:ascii="Times New Roman" w:hAnsi="Times New Roman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="00634ECE" w:rsidRPr="0096239F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634ECE" w:rsidRPr="0096239F">
        <w:rPr>
          <w:rFonts w:ascii="Times New Roman" w:hAnsi="Times New Roman"/>
        </w:rPr>
      </w:r>
      <w:r w:rsidR="00634ECE" w:rsidRPr="0096239F">
        <w:rPr>
          <w:rFonts w:ascii="Times New Roman" w:hAnsi="Times New Roman"/>
        </w:rPr>
        <w:fldChar w:fldCharType="separate"/>
      </w:r>
      <w:r w:rsidR="00634ECE" w:rsidRPr="0096239F">
        <w:rPr>
          <w:rFonts w:ascii="Times New Roman" w:hAnsi="Times New Roman"/>
        </w:rPr>
        <w:fldChar w:fldCharType="end"/>
      </w:r>
      <w:bookmarkEnd w:id="14"/>
      <w:r w:rsidR="00634ECE" w:rsidRPr="0096239F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Добра</w:t>
      </w:r>
      <w:r w:rsidR="003406EF" w:rsidRPr="0096239F">
        <w:rPr>
          <w:rFonts w:ascii="Times New Roman" w:hAnsi="Times New Roman"/>
          <w:b w:val="0"/>
          <w:lang w:val="sr-Latn-BA"/>
        </w:rPr>
        <w:tab/>
      </w:r>
      <w:r w:rsidR="00634ECE" w:rsidRPr="0096239F">
        <w:rPr>
          <w:rFonts w:ascii="Times New Roman" w:hAnsi="Times New Roman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="00634ECE" w:rsidRPr="0096239F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634ECE" w:rsidRPr="0096239F">
        <w:rPr>
          <w:rFonts w:ascii="Times New Roman" w:hAnsi="Times New Roman"/>
        </w:rPr>
      </w:r>
      <w:r w:rsidR="00634ECE" w:rsidRPr="0096239F">
        <w:rPr>
          <w:rFonts w:ascii="Times New Roman" w:hAnsi="Times New Roman"/>
        </w:rPr>
        <w:fldChar w:fldCharType="separate"/>
      </w:r>
      <w:r w:rsidR="00634ECE" w:rsidRPr="0096239F">
        <w:rPr>
          <w:rFonts w:ascii="Times New Roman" w:hAnsi="Times New Roman"/>
        </w:rPr>
        <w:fldChar w:fldCharType="end"/>
      </w:r>
      <w:bookmarkEnd w:id="15"/>
      <w:r w:rsidR="00634ECE" w:rsidRPr="0096239F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Услуге</w:t>
      </w:r>
    </w:p>
    <w:p w:rsidR="001F55F6" w:rsidRPr="0096239F" w:rsidRDefault="0096239F" w:rsidP="00B84A8C">
      <w:pPr>
        <w:pStyle w:val="Odjeljci"/>
        <w:spacing w:before="120"/>
        <w:ind w:left="2155" w:hanging="2155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Главна</w:t>
      </w:r>
      <w:r w:rsidR="00634ECE" w:rsidRPr="0096239F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ЦПВ</w:t>
      </w:r>
      <w:r w:rsidR="00634ECE" w:rsidRPr="0096239F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ознака</w:t>
      </w:r>
      <w:r w:rsidR="00634ECE" w:rsidRPr="0096239F">
        <w:rPr>
          <w:rFonts w:ascii="Times New Roman" w:hAnsi="Times New Roman"/>
          <w:b w:val="0"/>
          <w:lang w:val="sr-Latn-BA"/>
        </w:rPr>
        <w:t>:</w:t>
      </w:r>
      <w:r w:rsidR="003406EF" w:rsidRPr="0096239F">
        <w:rPr>
          <w:rFonts w:ascii="Times New Roman" w:hAnsi="Times New Roman"/>
          <w:b w:val="0"/>
          <w:lang w:val="sr-Latn-BA"/>
        </w:rPr>
        <w:tab/>
      </w:r>
      <w:bookmarkStart w:id="16" w:name="20"/>
      <w:bookmarkEnd w:id="16"/>
      <w:r w:rsidR="00634ECE" w:rsidRPr="0096239F">
        <w:rPr>
          <w:rFonts w:ascii="Times New Roman" w:eastAsia="Calibri" w:hAnsi="Times New Roman"/>
          <w:lang w:val="sr-Latn-BA"/>
        </w:rPr>
        <w:t>79341000</w:t>
      </w:r>
    </w:p>
    <w:p w:rsidR="001F55F6" w:rsidRPr="0096239F" w:rsidRDefault="0096239F" w:rsidP="00B84A8C">
      <w:pPr>
        <w:pStyle w:val="Odjeljci"/>
        <w:spacing w:before="120"/>
        <w:ind w:left="2155" w:hanging="2155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bCs w:val="0"/>
          <w:lang w:val="sr-Latn-BA"/>
        </w:rPr>
        <w:t>Назив</w:t>
      </w:r>
      <w:r w:rsidR="00634ECE" w:rsidRPr="0096239F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предмета</w:t>
      </w:r>
      <w:r w:rsidR="00634ECE" w:rsidRPr="0096239F">
        <w:rPr>
          <w:rFonts w:ascii="Times New Roman" w:hAnsi="Times New Roman"/>
          <w:b w:val="0"/>
          <w:bCs w:val="0"/>
          <w:lang w:val="sr-Latn-BA"/>
        </w:rPr>
        <w:t xml:space="preserve"> / </w:t>
      </w:r>
      <w:r>
        <w:rPr>
          <w:rFonts w:ascii="Times New Roman" w:hAnsi="Times New Roman"/>
          <w:b w:val="0"/>
          <w:bCs w:val="0"/>
          <w:lang w:val="sr-Latn-BA"/>
        </w:rPr>
        <w:t>партије</w:t>
      </w:r>
      <w:r w:rsidR="00634ECE" w:rsidRPr="0096239F">
        <w:rPr>
          <w:rFonts w:ascii="Times New Roman" w:hAnsi="Times New Roman"/>
          <w:b w:val="0"/>
          <w:bCs w:val="0"/>
          <w:lang w:val="sr-Latn-BA"/>
        </w:rPr>
        <w:t>:</w:t>
      </w:r>
      <w:r w:rsidR="003406EF" w:rsidRPr="0096239F">
        <w:rPr>
          <w:rFonts w:ascii="Times New Roman" w:hAnsi="Times New Roman"/>
          <w:b w:val="0"/>
          <w:bCs w:val="0"/>
          <w:lang w:val="sr-Latn-BA"/>
        </w:rPr>
        <w:tab/>
      </w:r>
      <w:bookmarkStart w:id="17" w:name="1"/>
      <w:bookmarkEnd w:id="17"/>
      <w:r>
        <w:rPr>
          <w:rFonts w:ascii="Times New Roman" w:eastAsia="Calibri" w:hAnsi="Times New Roman"/>
          <w:lang w:val="sr-Latn-BA"/>
        </w:rPr>
        <w:t>Услуга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објављивања</w:t>
      </w:r>
      <w:r w:rsidR="00634ECE" w:rsidRPr="0096239F">
        <w:rPr>
          <w:rFonts w:ascii="Times New Roman" w:eastAsia="Calibri" w:hAnsi="Times New Roman"/>
          <w:lang w:val="sr-Latn-BA"/>
        </w:rPr>
        <w:t xml:space="preserve">  </w:t>
      </w:r>
      <w:r>
        <w:rPr>
          <w:rFonts w:ascii="Times New Roman" w:eastAsia="Calibri" w:hAnsi="Times New Roman"/>
          <w:lang w:val="sr-Latn-BA"/>
        </w:rPr>
        <w:t>огласа</w:t>
      </w:r>
      <w:r w:rsidR="00634ECE" w:rsidRPr="0096239F">
        <w:rPr>
          <w:rFonts w:ascii="Times New Roman" w:eastAsia="Calibri" w:hAnsi="Times New Roman"/>
          <w:lang w:val="sr-Latn-BA"/>
        </w:rPr>
        <w:t xml:space="preserve">, </w:t>
      </w:r>
      <w:r>
        <w:rPr>
          <w:rFonts w:ascii="Times New Roman" w:eastAsia="Calibri" w:hAnsi="Times New Roman"/>
          <w:lang w:val="sr-Latn-BA"/>
        </w:rPr>
        <w:t>јавних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презентација</w:t>
      </w:r>
      <w:r w:rsidR="00634ECE" w:rsidRPr="0096239F">
        <w:rPr>
          <w:rFonts w:ascii="Times New Roman" w:eastAsia="Calibri" w:hAnsi="Times New Roman"/>
          <w:lang w:val="sr-Latn-BA"/>
        </w:rPr>
        <w:t xml:space="preserve">, </w:t>
      </w:r>
      <w:r>
        <w:rPr>
          <w:rFonts w:ascii="Times New Roman" w:eastAsia="Calibri" w:hAnsi="Times New Roman"/>
          <w:lang w:val="sr-Latn-BA"/>
        </w:rPr>
        <w:t>обавештења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и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других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аката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који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проистичу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из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делогруга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рада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органа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Општине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Врњачка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Бања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у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дневним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новинама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са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националном</w:t>
      </w:r>
      <w:r w:rsidR="00634ECE" w:rsidRPr="0096239F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покривеношћу</w:t>
      </w:r>
      <w:r w:rsidR="00634ECE" w:rsidRPr="0096239F">
        <w:rPr>
          <w:rFonts w:ascii="Times New Roman" w:eastAsia="Calibri" w:hAnsi="Times New Roman"/>
          <w:lang w:val="sr-Latn-BA"/>
        </w:rPr>
        <w:t>.</w:t>
      </w:r>
    </w:p>
    <w:p w:rsidR="001F55F6" w:rsidRPr="0096239F" w:rsidRDefault="0096239F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Процењена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вредност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предмета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Latn-BA"/>
        </w:rPr>
        <w:t>партије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BA"/>
        </w:rPr>
        <w:t>без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ПДВ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>):</w:t>
      </w:r>
      <w:r w:rsidR="00B84A8C" w:rsidRPr="0096239F">
        <w:rPr>
          <w:rFonts w:ascii="Times New Roman" w:hAnsi="Times New Roman" w:cs="Times New Roman"/>
          <w:sz w:val="24"/>
          <w:szCs w:val="24"/>
        </w:rPr>
        <w:t> </w:t>
      </w:r>
      <w:bookmarkStart w:id="18" w:name="2"/>
      <w:bookmarkEnd w:id="18"/>
      <w:r w:rsidR="00B84A8C" w:rsidRPr="0096239F">
        <w:rPr>
          <w:rFonts w:ascii="Times New Roman" w:eastAsia="Calibri" w:hAnsi="Times New Roman" w:cs="Times New Roman"/>
          <w:b/>
          <w:sz w:val="24"/>
          <w:szCs w:val="24"/>
        </w:rPr>
        <w:t>1.250.000,00</w:t>
      </w:r>
      <w:r w:rsidR="00B84A8C" w:rsidRPr="0096239F">
        <w:rPr>
          <w:rFonts w:ascii="Times New Roman" w:hAnsi="Times New Roman" w:cs="Times New Roman"/>
          <w:b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  <w:lang w:val="sr-Latn-BA"/>
        </w:rPr>
        <w:t>Валута</w:t>
      </w:r>
      <w:r w:rsidR="00634ECE" w:rsidRPr="0096239F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B84A8C" w:rsidRPr="0096239F">
        <w:rPr>
          <w:rFonts w:ascii="Times New Roman" w:hAnsi="Times New Roman" w:cs="Times New Roman"/>
          <w:sz w:val="24"/>
          <w:szCs w:val="24"/>
        </w:rPr>
        <w:t> </w:t>
      </w:r>
      <w:bookmarkStart w:id="19" w:name="3"/>
      <w:bookmarkEnd w:id="19"/>
      <w:r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РСД</w:t>
      </w:r>
    </w:p>
    <w:p w:rsidR="001F55F6" w:rsidRPr="0096239F" w:rsidRDefault="0096239F" w:rsidP="002A1737">
      <w:pPr>
        <w:tabs>
          <w:tab w:val="left" w:pos="1701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634ECE" w:rsidRPr="0096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34ECE" w:rsidRPr="0096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B84A8C" w:rsidRPr="0096239F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10"/>
      <w:bookmarkEnd w:id="20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привредном</w:t>
      </w:r>
      <w:proofErr w:type="spellEnd"/>
      <w:r w:rsidR="00634ECE" w:rsidRPr="00962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субјекту</w:t>
      </w:r>
      <w:proofErr w:type="spellEnd"/>
      <w:r w:rsidR="00634ECE" w:rsidRPr="009623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E2F6F" w:rsidRPr="0096239F" w:rsidTr="00B84A8C">
        <w:trPr>
          <w:cantSplit/>
        </w:trPr>
        <w:tc>
          <w:tcPr>
            <w:tcW w:w="5000" w:type="pct"/>
            <w:hideMark/>
          </w:tcPr>
          <w:p w:rsidR="001F55F6" w:rsidRPr="0096239F" w:rsidRDefault="0096239F" w:rsidP="002A17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1" w:name="11"/>
            <w:bookmarkEnd w:id="21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ИНСАЈДЕР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ТИМ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ДОО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БЕОГРАД</w:t>
            </w:r>
            <w:r w:rsidR="00634ECE" w:rsidRPr="00962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2" w:name="12"/>
            <w:bookmarkEnd w:id="22"/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107467081</w:t>
            </w:r>
            <w:r w:rsidR="00634ECE" w:rsidRPr="00962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3" w:name="13"/>
            <w:bookmarkEnd w:id="23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ТЕРАЗИЈЕ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, 5/7</w:t>
            </w:r>
            <w:r w:rsidR="00634ECE" w:rsidRPr="00962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4" w:name="14"/>
            <w:bookmarkEnd w:id="24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Београд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Стари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Град</w:t>
            </w:r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)</w:t>
            </w:r>
            <w:r w:rsidR="00634ECE" w:rsidRPr="00962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5" w:name="15"/>
            <w:bookmarkEnd w:id="25"/>
            <w:r w:rsidR="00634ECE" w:rsidRPr="00962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11000</w:t>
            </w:r>
            <w:r w:rsidR="00634ECE" w:rsidRPr="00962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6" w:name="16"/>
            <w:bookmarkEnd w:id="26"/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Србија</w:t>
            </w:r>
            <w:proofErr w:type="spellEnd"/>
          </w:p>
        </w:tc>
      </w:tr>
    </w:tbl>
    <w:p w:rsidR="00A9707B" w:rsidRPr="0096239F" w:rsidRDefault="00A9707B" w:rsidP="002A1737">
      <w:pPr>
        <w:tabs>
          <w:tab w:val="left" w:pos="2438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F55F6" w:rsidRPr="0096239F" w:rsidRDefault="0096239F" w:rsidP="00B84A8C">
      <w:pPr>
        <w:tabs>
          <w:tab w:val="left" w:pos="2438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ПДВ</w:t>
      </w:r>
      <w:r w:rsidR="00634ECE" w:rsidRPr="0096239F">
        <w:rPr>
          <w:rFonts w:ascii="Times New Roman" w:hAnsi="Times New Roman" w:cs="Times New Roman"/>
          <w:bCs/>
          <w:sz w:val="24"/>
          <w:szCs w:val="24"/>
        </w:rPr>
        <w:t>):</w:t>
      </w:r>
      <w:r w:rsidR="00B84A8C" w:rsidRPr="0096239F">
        <w:rPr>
          <w:rFonts w:ascii="Times New Roman" w:hAnsi="Times New Roman" w:cs="Times New Roman"/>
          <w:bCs/>
          <w:sz w:val="24"/>
          <w:szCs w:val="24"/>
        </w:rPr>
        <w:tab/>
      </w:r>
      <w:bookmarkStart w:id="27" w:name="4"/>
      <w:bookmarkEnd w:id="27"/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1.250.000</w:t>
      </w:r>
      <w:proofErr w:type="gramStart"/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,00</w:t>
      </w:r>
      <w:proofErr w:type="gramEnd"/>
    </w:p>
    <w:p w:rsidR="001F55F6" w:rsidRPr="0096239F" w:rsidRDefault="0096239F" w:rsidP="00B84A8C">
      <w:pPr>
        <w:tabs>
          <w:tab w:val="left" w:pos="2438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634ECE" w:rsidRPr="0096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ПДВ</w:t>
      </w:r>
      <w:r w:rsidR="00634ECE" w:rsidRPr="0096239F">
        <w:rPr>
          <w:rFonts w:ascii="Times New Roman" w:hAnsi="Times New Roman" w:cs="Times New Roman"/>
          <w:bCs/>
          <w:sz w:val="24"/>
          <w:szCs w:val="24"/>
        </w:rPr>
        <w:t>):</w:t>
      </w:r>
      <w:r w:rsidR="00B84A8C" w:rsidRPr="0096239F">
        <w:rPr>
          <w:rFonts w:ascii="Times New Roman" w:hAnsi="Times New Roman" w:cs="Times New Roman"/>
          <w:bCs/>
          <w:sz w:val="24"/>
          <w:szCs w:val="24"/>
        </w:rPr>
        <w:tab/>
      </w:r>
      <w:bookmarkStart w:id="28" w:name="5"/>
      <w:bookmarkEnd w:id="28"/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1.500.000</w:t>
      </w:r>
      <w:proofErr w:type="gramStart"/>
      <w:r w:rsidR="00634ECE" w:rsidRPr="0096239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,00</w:t>
      </w:r>
      <w:proofErr w:type="gramEnd"/>
    </w:p>
    <w:p w:rsidR="001F55F6" w:rsidRPr="0096239F" w:rsidRDefault="0096239F" w:rsidP="00B84A8C">
      <w:pPr>
        <w:tabs>
          <w:tab w:val="left" w:pos="2410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proofErr w:type="gramStart"/>
      <w:r w:rsidR="00634ECE" w:rsidRPr="009623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84A8C" w:rsidRPr="0096239F">
        <w:rPr>
          <w:rFonts w:ascii="Times New Roman" w:hAnsi="Times New Roman" w:cs="Times New Roman"/>
          <w:sz w:val="24"/>
          <w:szCs w:val="24"/>
        </w:rPr>
        <w:t> </w:t>
      </w:r>
      <w:bookmarkStart w:id="29" w:name="6"/>
      <w:bookmarkEnd w:id="29"/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РСД</w:t>
      </w:r>
    </w:p>
    <w:bookmarkEnd w:id="0"/>
    <w:p w:rsidR="00A9707B" w:rsidRPr="0096239F" w:rsidRDefault="00A9707B" w:rsidP="001F55F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  <w:sectPr w:rsidR="00A9707B" w:rsidRPr="0096239F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E2F6F" w:rsidRPr="0096239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E2F6F" w:rsidRPr="0096239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ОБРАЗЛОЖЕЊЕ</w:t>
                  </w: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rPr>
          <w:trHeight w:val="40"/>
        </w:trPr>
        <w:tc>
          <w:tcPr>
            <w:tcW w:w="15397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5"/>
              <w:gridCol w:w="11613"/>
            </w:tblGrid>
            <w:tr w:rsidR="004E2F6F" w:rsidRPr="0096239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поступку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Назив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Услуга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објављивања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  <w:proofErr w:type="gram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јавних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презентација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обавештења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других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аката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који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проистичу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делогруга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рада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Општине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Врњачка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Бања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дневним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новинама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националном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покривеношћу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400-740/22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Отворени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поступак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одлуке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400-740/22, 30.03.2022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Процењена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1.250.000,00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79341000-</w:t>
                  </w:r>
                  <w:r w:rsid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Услуге</w:t>
                  </w: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оглашавања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Кратак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опис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Услуга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подразумева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оглашавање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средствима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јавног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информисања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дневним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листовима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националном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покривеношћу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),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ради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објављивања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јавних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презентација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обавештења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других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аката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који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проистичу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делогруга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рада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Општине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Врњачка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Бања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захтеву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Наручиоца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Неопходно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дневни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листови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дистрибуирају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територији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целе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Републике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Србије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</w:t>
                  </w:r>
                </w:p>
              </w:tc>
            </w:tr>
            <w:tr w:rsidR="004E2F6F" w:rsidRPr="0096239F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Образложење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зашто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није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Није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применљиво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односу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2022/</w:t>
                  </w:r>
                  <w:r w:rsid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</w:t>
                  </w: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02-0012954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позив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08.04.2022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634EC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19.04.2022 12:00:00</w:t>
                  </w: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E2F6F" w:rsidRPr="0096239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Чланови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комисије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набавку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Јовановић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правник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Сузана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Црноглавац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службеник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ЈН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Виолета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Костић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Данијела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Јелићанин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Јасмина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Трифуновић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.,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Ружица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Митровић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E2F6F" w:rsidRPr="0096239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Подаци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предмету</w:t>
                  </w:r>
                  <w:proofErr w:type="spellEnd"/>
                  <w:r w:rsidR="00634ECE" w:rsidRPr="0096239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партијама</w:t>
                  </w:r>
                  <w:proofErr w:type="spellEnd"/>
                </w:p>
              </w:tc>
            </w:tr>
            <w:tr w:rsidR="004E2F6F" w:rsidRPr="0096239F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E2F6F" w:rsidRPr="0096239F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Назив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Услуга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објављивања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огласа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презентација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обавештења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других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аката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проистичу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делогруга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органа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Општине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дневним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новинама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националном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покривеношћу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набавке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Назив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захтева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дужи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rPr>
          <w:trHeight w:val="56"/>
        </w:trPr>
        <w:tc>
          <w:tcPr>
            <w:tcW w:w="15397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F6F" w:rsidRPr="0096239F" w:rsidRDefault="004E2F6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F6F" w:rsidRPr="0096239F" w:rsidRDefault="004E2F6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E2F6F" w:rsidRPr="0096239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E2F6F" w:rsidRPr="0096239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отварању</w:t>
                  </w:r>
                  <w:proofErr w:type="spellEnd"/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време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отварања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19.04.2022 12:10:00</w:t>
                  </w:r>
                </w:p>
              </w:tc>
            </w:tr>
            <w:tr w:rsidR="004E2F6F" w:rsidRPr="0096239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Електронско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отварање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завршено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634ECE" w:rsidRPr="0096239F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19.04.2022 12:10:03</w:t>
                  </w:r>
                </w:p>
              </w:tc>
            </w:tr>
            <w:tr w:rsidR="004E2F6F" w:rsidRPr="0096239F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E2F6F" w:rsidRPr="0096239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1"/>
                          <w:gridCol w:w="11567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пристиглих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07"/>
                          <w:gridCol w:w="2235"/>
                          <w:gridCol w:w="2202"/>
                          <w:gridCol w:w="1513"/>
                          <w:gridCol w:w="2821"/>
                        </w:tblGrid>
                        <w:tr w:rsidR="004E2F6F" w:rsidRPr="0096239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Облик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Ознака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Датум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време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ТЕРАЗИЈЕ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5/7, 11000,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Стари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17/2022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11.4.2022. </w:t>
                              </w: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13:15:42</w:t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МАГАЗИНИ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ПНМ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Трг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1, 11000,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Стари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36/2022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14.4.2022. 16:03:19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>
        <w:trPr>
          <w:trHeight w:val="62"/>
        </w:trPr>
        <w:tc>
          <w:tcPr>
            <w:tcW w:w="15397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F6F" w:rsidRPr="0096239F" w:rsidRDefault="00634ECE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96239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E2F6F" w:rsidRPr="0096239F" w:rsidRDefault="004E2F6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6"/>
        <w:gridCol w:w="10"/>
        <w:gridCol w:w="115"/>
      </w:tblGrid>
      <w:tr w:rsidR="004E2F6F" w:rsidRPr="0096239F" w:rsidTr="00590B5E">
        <w:tc>
          <w:tcPr>
            <w:tcW w:w="1546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27"/>
            </w:tblGrid>
            <w:tr w:rsidR="004E2F6F" w:rsidRPr="0096239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поднетих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</w:p>
              </w:tc>
            </w:tr>
            <w:tr w:rsidR="004E2F6F" w:rsidRPr="0096239F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21"/>
                    <w:gridCol w:w="6"/>
                  </w:tblGrid>
                  <w:tr w:rsidR="004E2F6F" w:rsidRPr="0096239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15364" w:type="dxa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74"/>
                          <w:gridCol w:w="1417"/>
                          <w:gridCol w:w="1276"/>
                          <w:gridCol w:w="1276"/>
                          <w:gridCol w:w="2693"/>
                          <w:gridCol w:w="2693"/>
                          <w:gridCol w:w="2835"/>
                        </w:tblGrid>
                        <w:tr w:rsidR="004E2F6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4E2F6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21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дужи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85050.00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102060.00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пријема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рачуна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МАГАЗИНИ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ПНМ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261254.50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313505.40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42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rPr>
          <w:trHeight w:val="50"/>
        </w:trPr>
        <w:tc>
          <w:tcPr>
            <w:tcW w:w="15466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c>
          <w:tcPr>
            <w:tcW w:w="1546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27"/>
            </w:tblGrid>
            <w:tr w:rsidR="004E2F6F" w:rsidRPr="0096239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након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допуштених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исправки</w:t>
                  </w:r>
                  <w:proofErr w:type="spellEnd"/>
                </w:p>
              </w:tc>
            </w:tr>
            <w:tr w:rsidR="004E2F6F" w:rsidRPr="0096239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21"/>
                    <w:gridCol w:w="6"/>
                  </w:tblGrid>
                  <w:tr w:rsidR="004E2F6F" w:rsidRPr="0096239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15364" w:type="dxa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74"/>
                          <w:gridCol w:w="1417"/>
                          <w:gridCol w:w="1276"/>
                          <w:gridCol w:w="1276"/>
                          <w:gridCol w:w="2693"/>
                          <w:gridCol w:w="2693"/>
                          <w:gridCol w:w="2835"/>
                        </w:tblGrid>
                        <w:tr w:rsidR="004E2F6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4E2F6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21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дужи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85050.00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102060.00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пријема</w:t>
                              </w:r>
                              <w:proofErr w:type="spellEnd"/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рачуна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</w:tc>
                        </w:tr>
                        <w:tr w:rsidR="0096239F" w:rsidRPr="0096239F" w:rsidTr="0096239F">
                          <w:trPr>
                            <w:trHeight w:val="262"/>
                          </w:trPr>
                          <w:tc>
                            <w:tcPr>
                              <w:tcW w:w="31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МАГАЗИНИ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ПНМ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261254.50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313505.40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42 </w:t>
                              </w:r>
                              <w:proofErr w:type="spellStart"/>
                              <w:r w:rsid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rPr>
          <w:trHeight w:val="48"/>
        </w:trPr>
        <w:tc>
          <w:tcPr>
            <w:tcW w:w="15466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c>
          <w:tcPr>
            <w:tcW w:w="1547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1"/>
            </w:tblGrid>
            <w:tr w:rsidR="004E2F6F" w:rsidRPr="0096239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2F6F" w:rsidRPr="0096239F" w:rsidRDefault="0096239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Стручна</w:t>
                  </w:r>
                  <w:proofErr w:type="spellEnd"/>
                  <w:r w:rsidR="00634ECE"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оцена</w:t>
                  </w:r>
                  <w:proofErr w:type="spellEnd"/>
                </w:p>
              </w:tc>
            </w:tr>
            <w:tr w:rsidR="004E2F6F" w:rsidRPr="0096239F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1"/>
                  </w:tblGrid>
                  <w:tr w:rsidR="004E2F6F" w:rsidRPr="0096239F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14"/>
                          <w:gridCol w:w="2826"/>
                          <w:gridCol w:w="2822"/>
                          <w:gridCol w:w="2147"/>
                          <w:gridCol w:w="2147"/>
                          <w:gridCol w:w="898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Одбијено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85.050,00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102.060,00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уз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преглед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Увидом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доступне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податке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ЈН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: 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регистровани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Регистру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сходно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члану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128 .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6)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члана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111.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тача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2)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Закона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Изјавом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непостојанују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111.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Закона</w:t>
                              </w:r>
                              <w:proofErr w:type="spellEnd"/>
                              <w:proofErr w:type="gramStart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условима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дефинисаним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кнкурсном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документацијом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потврдио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непостојање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142.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4. </w:t>
                              </w:r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5.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proofErr w:type="gramStart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04.05.2022.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преко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упућен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Захтев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сагласност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исправку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рачунске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грешке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остављеном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року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04.05.2022.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преко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сагласио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исправком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рачунске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грешке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поступак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стручне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оцене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настављен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набавки</w:t>
                              </w:r>
                              <w:proofErr w:type="spellEnd"/>
                              <w:proofErr w:type="gramStart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приликом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подношења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доставио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испуњности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Након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прегледа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оцене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релевантних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оценила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прихватљиву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утврдила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постоје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привреног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испуњени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146.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Закона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предлаже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наручиоцу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јавној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набавци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услуге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објављивања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огласа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презентација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обавештења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других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аката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проистичу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делогруга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органа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Општине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дневним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новинама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националном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покривеношћу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процењене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вредности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1.250.000,00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динара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урачунатог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односно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1.500.000,00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динара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урачунатим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).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огласа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ће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реализовати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јединичним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ценама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исказане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стварним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потребема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Наручиоца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највише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укупне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вредности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ПОЛИТИКА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МАГАЗИНИ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ПНМ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261.254,50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313.505,40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rPr>
          <w:trHeight w:val="14"/>
        </w:trPr>
        <w:tc>
          <w:tcPr>
            <w:tcW w:w="15466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c>
          <w:tcPr>
            <w:tcW w:w="15476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1"/>
            </w:tblGrid>
            <w:tr w:rsidR="004E2F6F" w:rsidRPr="0096239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E2F6F" w:rsidRPr="0096239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ће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Сукоб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мере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поводом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тога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сукоб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Додатни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4E2F6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Бира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85.050,00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НОВИНЕ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МАГАЗИНИ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ПНМ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634E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261.254,50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E2F6F" w:rsidRPr="0096239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2F6F" w:rsidRPr="0096239F" w:rsidRDefault="0096239F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утврдила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постоје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основи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привреног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испуњени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критеријуми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. 146.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Закона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предлаже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наручиоцу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уговор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јавној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набавци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услуге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објављивања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огласа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презентација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обавештења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других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аката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проистичу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делогруга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органа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Општине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дневним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новинама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националном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покривеношћу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Информер</w:t>
                              </w:r>
                              <w:proofErr w:type="spellEnd"/>
                              <w:proofErr w:type="gram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додели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Инсајдер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висини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процењене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вредности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1.250.000,00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динара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без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односно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1.500.000,00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динара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јединичним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ценама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датим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брасцу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Структуре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цене</w:t>
                              </w:r>
                              <w:proofErr w:type="spellEnd"/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.</w:t>
                              </w:r>
                              <w:r w:rsidR="00634ECE" w:rsidRPr="0096239F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2F6F" w:rsidRPr="0096239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2F6F" w:rsidRPr="0096239F" w:rsidRDefault="004E2F6F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90B5E" w:rsidRPr="00C10584" w:rsidRDefault="00590B5E" w:rsidP="00590B5E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Начелник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Општинске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управе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као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одговорно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лице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Наручиоца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прихватио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је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предлог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Комисије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уговор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о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јавној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набавци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објављивања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јавних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презентација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обавештења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других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аката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који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проистичу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из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делогруга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рада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Општине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Врњачка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Бања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дневним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новинама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са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националном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покривеношћу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додели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понуђачу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Инсајдер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тим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"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доо</w:t>
                  </w:r>
                  <w:proofErr w:type="spellEnd"/>
                  <w:r w:rsidRPr="0096239F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Београд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вредности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1.250.</w:t>
                  </w:r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000,00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динара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без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ПДВ-а,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одн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1.500.000</w:t>
                  </w:r>
                  <w:proofErr w:type="gram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,00</w:t>
                  </w:r>
                  <w:proofErr w:type="gram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динара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са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ПДВ-</w:t>
                  </w:r>
                  <w:proofErr w:type="spellStart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ом</w:t>
                  </w:r>
                  <w:proofErr w:type="spellEnd"/>
                  <w:r w:rsidRPr="00C105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590B5E" w:rsidRDefault="00590B5E" w:rsidP="00590B5E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</w:pPr>
                </w:p>
                <w:p w:rsidR="00590B5E" w:rsidRPr="0096239F" w:rsidRDefault="00590B5E" w:rsidP="00590B5E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>Упутство</w:t>
                  </w:r>
                  <w:r w:rsidRPr="009623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>о</w:t>
                  </w:r>
                  <w:r w:rsidRPr="009623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>правом</w:t>
                  </w:r>
                  <w:r w:rsidRPr="009623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>средству</w:t>
                  </w:r>
                  <w:r w:rsidRPr="009623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sr-Latn-BA" w:eastAsia="lv-LV"/>
                    </w:rPr>
                    <w:t>:</w:t>
                  </w:r>
                </w:p>
                <w:p w:rsidR="00590B5E" w:rsidRPr="0096239F" w:rsidRDefault="00590B5E" w:rsidP="00590B5E">
                  <w:pPr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Против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ове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одлуке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понуђач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може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да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поднесе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захтев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за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заштиту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права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року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од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десет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дана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од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дана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објављивања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на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Порталу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јавних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набавки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складу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са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одредбама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Закона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о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јавним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набавкама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(„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Службени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гласник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“,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>број</w:t>
                  </w:r>
                  <w:r w:rsidRPr="009623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Latn-BA"/>
                    </w:rPr>
                    <w:t xml:space="preserve"> 91/19)</w:t>
                  </w:r>
                </w:p>
                <w:p w:rsidR="004E2F6F" w:rsidRPr="0096239F" w:rsidRDefault="004E2F6F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F6F" w:rsidRPr="0096239F" w:rsidTr="00590B5E">
        <w:trPr>
          <w:trHeight w:val="523"/>
        </w:trPr>
        <w:tc>
          <w:tcPr>
            <w:tcW w:w="15466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:rsidR="004E2F6F" w:rsidRPr="0096239F" w:rsidRDefault="004E2F6F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B5E" w:rsidRPr="00907E92" w:rsidRDefault="00590B5E" w:rsidP="00590B5E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Обрадила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Начелник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управе</w:t>
      </w:r>
    </w:p>
    <w:p w:rsidR="00590B5E" w:rsidRPr="00907E92" w:rsidRDefault="00590B5E" w:rsidP="00590B5E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>Ружица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Митровић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             </w:t>
      </w:r>
      <w:bookmarkStart w:id="30" w:name="_GoBack"/>
      <w:bookmarkEnd w:id="30"/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Славиша</w:t>
      </w:r>
      <w:r w:rsidRPr="00907E92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Пауновић</w:t>
      </w:r>
    </w:p>
    <w:p w:rsidR="004E2F6F" w:rsidRPr="0096239F" w:rsidRDefault="004E2F6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  <w:sectPr w:rsidR="004E2F6F" w:rsidRPr="009623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96239F" w:rsidRDefault="0096239F" w:rsidP="008C5725">
      <w:pPr>
        <w:rPr>
          <w:rFonts w:ascii="Times New Roman" w:hAnsi="Times New Roman" w:cs="Times New Roman"/>
          <w:sz w:val="24"/>
          <w:szCs w:val="24"/>
        </w:rPr>
      </w:pPr>
      <w:bookmarkStart w:id="31" w:name="1_0"/>
      <w:bookmarkStart w:id="32" w:name="_Hlk32839505_0"/>
      <w:bookmarkEnd w:id="31"/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Комисија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утврдила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постоје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искључење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привреног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субјекта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испуњени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критеријуми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квалитативни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избор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привредног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субјекта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146.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предлаже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објављивања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огласа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презентација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обавештења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аката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проистичу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делогруга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Врњачка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Бања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дневним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новинама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националном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покривеношћу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Информер</w:t>
      </w:r>
      <w:proofErr w:type="spellEnd"/>
      <w:proofErr w:type="gram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додели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понуђачу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Инсајдер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доо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висини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процењене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1.250.000,00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1.500.000,00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јединичним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ценама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датим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брасцу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Структуре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="00634ECE" w:rsidRPr="0096239F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4E2F6F" w:rsidRPr="0096239F" w:rsidRDefault="004E2F6F" w:rsidP="008C5725">
      <w:pPr>
        <w:rPr>
          <w:rFonts w:ascii="Times New Roman" w:eastAsia="Calibri" w:hAnsi="Times New Roman" w:cs="Times New Roman"/>
          <w:sz w:val="24"/>
          <w:szCs w:val="24"/>
        </w:rPr>
      </w:pPr>
    </w:p>
    <w:p w:rsidR="001F55F6" w:rsidRPr="0096239F" w:rsidRDefault="0096239F" w:rsidP="008C5725">
      <w:pPr>
        <w:spacing w:before="120" w:after="12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Упутство</w:t>
      </w:r>
      <w:r w:rsidR="00634ECE" w:rsidRPr="0096239F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о</w:t>
      </w:r>
      <w:r w:rsidR="00634ECE" w:rsidRPr="0096239F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правом</w:t>
      </w:r>
      <w:r w:rsidR="00634ECE" w:rsidRPr="0096239F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средству</w:t>
      </w:r>
      <w:r w:rsidR="00634ECE" w:rsidRPr="0096239F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:</w:t>
      </w:r>
    </w:p>
    <w:p w:rsidR="001F55F6" w:rsidRPr="0096239F" w:rsidRDefault="0096239F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  <w:bookmarkStart w:id="33" w:name="2_0"/>
      <w:bookmarkEnd w:id="32"/>
      <w:bookmarkEnd w:id="33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Против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ове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одлуке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понуђач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може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поднесе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захтев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заштиту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права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року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десет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објављивања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Порталу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јавних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набавки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складу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одредбама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Закона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јавним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набавкама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Службени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гласник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број</w:t>
      </w:r>
      <w:r w:rsidR="00634ECE" w:rsidRPr="0096239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91/19)</w:t>
      </w:r>
    </w:p>
    <w:sectPr w:rsidR="001F55F6" w:rsidRPr="0096239F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CE" w:rsidRDefault="00634ECE">
      <w:pPr>
        <w:spacing w:before="0" w:after="0"/>
      </w:pPr>
      <w:r>
        <w:separator/>
      </w:r>
    </w:p>
  </w:endnote>
  <w:endnote w:type="continuationSeparator" w:id="0">
    <w:p w:rsidR="00634ECE" w:rsidRDefault="00634E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634EC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19606" wp14:editId="4D852C1C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6239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CE" w:rsidRDefault="00634ECE">
      <w:pPr>
        <w:spacing w:before="0" w:after="0"/>
      </w:pPr>
      <w:r>
        <w:separator/>
      </w:r>
    </w:p>
  </w:footnote>
  <w:footnote w:type="continuationSeparator" w:id="0">
    <w:p w:rsidR="00634ECE" w:rsidRDefault="00634E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6F" w:rsidRDefault="004E2F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E2F6F"/>
    <w:rsid w:val="005349E8"/>
    <w:rsid w:val="00544D4B"/>
    <w:rsid w:val="00590B5E"/>
    <w:rsid w:val="0059265A"/>
    <w:rsid w:val="005B6EAC"/>
    <w:rsid w:val="005F01C2"/>
    <w:rsid w:val="006335EC"/>
    <w:rsid w:val="00634ECE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6239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Ruzica Mitrovic</cp:lastModifiedBy>
  <cp:revision>14</cp:revision>
  <dcterms:created xsi:type="dcterms:W3CDTF">2020-02-17T13:03:00Z</dcterms:created>
  <dcterms:modified xsi:type="dcterms:W3CDTF">2022-05-10T06:55:00Z</dcterms:modified>
</cp:coreProperties>
</file>