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BD" w:rsidRPr="003923AA" w:rsidRDefault="003923AA" w:rsidP="001F55F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32839505"/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Председник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општине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Општинско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веће</w:t>
      </w:r>
      <w:proofErr w:type="spellEnd"/>
    </w:p>
    <w:p w:rsidR="001F55F6" w:rsidRPr="003923AA" w:rsidRDefault="003923AA" w:rsidP="001F55F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ПИБ</w:t>
      </w:r>
      <w:proofErr w:type="gramStart"/>
      <w:r w:rsidRPr="003923A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A1737" w:rsidRPr="003923AA">
        <w:rPr>
          <w:rFonts w:ascii="Times New Roman" w:hAnsi="Times New Roman" w:cs="Times New Roman"/>
          <w:sz w:val="24"/>
          <w:szCs w:val="24"/>
        </w:rPr>
        <w:t> </w:t>
      </w:r>
      <w:bookmarkStart w:id="1" w:name="23"/>
      <w:bookmarkEnd w:id="1"/>
      <w:r w:rsidRPr="003923AA">
        <w:rPr>
          <w:rFonts w:ascii="Times New Roman" w:eastAsia="Calibri" w:hAnsi="Times New Roman" w:cs="Times New Roman"/>
          <w:b/>
          <w:sz w:val="24"/>
          <w:szCs w:val="24"/>
        </w:rPr>
        <w:t>100917981</w:t>
      </w:r>
    </w:p>
    <w:p w:rsidR="001F55F6" w:rsidRPr="003923AA" w:rsidRDefault="003923AA" w:rsidP="001F55F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24"/>
      <w:bookmarkEnd w:id="2"/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Крушевачка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17</w:t>
      </w:r>
    </w:p>
    <w:p w:rsidR="001F55F6" w:rsidRPr="003923AA" w:rsidRDefault="003923AA" w:rsidP="001F55F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26"/>
      <w:bookmarkEnd w:id="3"/>
      <w:r w:rsidRPr="003923AA">
        <w:rPr>
          <w:rFonts w:ascii="Times New Roman" w:eastAsia="Calibri" w:hAnsi="Times New Roman" w:cs="Times New Roman"/>
          <w:b/>
          <w:sz w:val="24"/>
          <w:szCs w:val="24"/>
        </w:rPr>
        <w:t>36210</w:t>
      </w:r>
      <w:r w:rsidR="00C32F8B"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4" w:name="25"/>
      <w:bookmarkEnd w:id="4"/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Врњачка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Бања</w:t>
      </w:r>
      <w:proofErr w:type="spellEnd"/>
    </w:p>
    <w:p w:rsidR="001F55F6" w:rsidRPr="003923AA" w:rsidRDefault="003923AA" w:rsidP="00C32F8B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sr-Latn-BA" w:eastAsia="lv-LV"/>
        </w:rPr>
      </w:pPr>
      <w:r>
        <w:rPr>
          <w:rFonts w:ascii="Times New Roman" w:hAnsi="Times New Roman" w:cs="Times New Roman"/>
          <w:b/>
          <w:sz w:val="24"/>
          <w:szCs w:val="24"/>
          <w:lang w:val="sr-Latn-BA" w:eastAsia="lv-LV"/>
        </w:rPr>
        <w:t>Република</w:t>
      </w:r>
      <w:r w:rsidRPr="003923AA">
        <w:rPr>
          <w:rFonts w:ascii="Times New Roman" w:hAnsi="Times New Roman" w:cs="Times New Roman"/>
          <w:b/>
          <w:sz w:val="24"/>
          <w:szCs w:val="24"/>
          <w:lang w:val="sr-Latn-BA" w:eastAsia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 w:eastAsia="lv-LV"/>
        </w:rPr>
        <w:t>Србија</w:t>
      </w:r>
    </w:p>
    <w:p w:rsidR="001F55F6" w:rsidRPr="003923AA" w:rsidRDefault="003923AA" w:rsidP="00C32F8B">
      <w:pPr>
        <w:tabs>
          <w:tab w:val="left" w:pos="709"/>
        </w:tabs>
        <w:spacing w:before="120" w:after="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Датум</w:t>
      </w:r>
      <w:r w:rsidRPr="003923AA">
        <w:rPr>
          <w:rFonts w:ascii="Times New Roman" w:hAnsi="Times New Roman" w:cs="Times New Roman"/>
          <w:noProof/>
          <w:sz w:val="24"/>
          <w:szCs w:val="24"/>
          <w:lang w:val="sr-Latn-BA"/>
        </w:rPr>
        <w:t>:</w:t>
      </w:r>
      <w:r w:rsidR="00FA1F7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bookmarkStart w:id="5" w:name="9"/>
      <w:bookmarkEnd w:id="5"/>
      <w:r w:rsidR="008E7904">
        <w:rPr>
          <w:rFonts w:ascii="Times New Roman" w:hAnsi="Times New Roman" w:cs="Times New Roman"/>
          <w:noProof/>
          <w:sz w:val="24"/>
          <w:szCs w:val="24"/>
          <w:lang w:val="sr-Latn-RS"/>
        </w:rPr>
        <w:t>21</w:t>
      </w:r>
      <w:r w:rsidRPr="003923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BA"/>
        </w:rPr>
        <w:t>.04.2022</w:t>
      </w:r>
    </w:p>
    <w:p w:rsidR="001F55F6" w:rsidRPr="003923AA" w:rsidRDefault="003923AA" w:rsidP="001F55F6">
      <w:pPr>
        <w:tabs>
          <w:tab w:val="left" w:pos="709"/>
        </w:tabs>
        <w:spacing w:before="120" w:after="120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Број</w:t>
      </w:r>
      <w:r w:rsidRPr="003923AA">
        <w:rPr>
          <w:rFonts w:ascii="Times New Roman" w:hAnsi="Times New Roman" w:cs="Times New Roman"/>
          <w:noProof/>
          <w:sz w:val="24"/>
          <w:szCs w:val="24"/>
          <w:lang w:val="sr-Latn-BA"/>
        </w:rPr>
        <w:t>:</w:t>
      </w:r>
      <w:r w:rsidR="00C32F8B" w:rsidRPr="003923AA"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  <w:bookmarkStart w:id="6" w:name="8"/>
      <w:bookmarkEnd w:id="6"/>
      <w:r w:rsidRPr="003923AA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sr-Latn-BA"/>
        </w:rPr>
        <w:t>400-763/22</w:t>
      </w:r>
      <w:bookmarkStart w:id="7" w:name="_GoBack"/>
      <w:bookmarkEnd w:id="7"/>
    </w:p>
    <w:p w:rsidR="001F55F6" w:rsidRPr="003923AA" w:rsidRDefault="003923AA" w:rsidP="00A9707B">
      <w:pPr>
        <w:spacing w:before="440" w:after="120"/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</w:pPr>
      <w:bookmarkStart w:id="8" w:name="7"/>
      <w:bookmarkEnd w:id="8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На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основу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члана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146.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став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1.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Закона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о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јавним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набавкама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(„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Службени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гласник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“,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број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91/19),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наручилац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доноси</w:t>
      </w:r>
      <w:r w:rsidRPr="003923AA">
        <w:rPr>
          <w:rFonts w:ascii="Times New Roman" w:eastAsia="Calibri" w:hAnsi="Times New Roman" w:cs="Times New Roman"/>
          <w:bCs/>
          <w:i/>
          <w:iCs/>
          <w:sz w:val="24"/>
          <w:szCs w:val="24"/>
          <w:lang w:val="sr-Latn-BA" w:eastAsia="lv-LV"/>
        </w:rPr>
        <w:t>,</w:t>
      </w:r>
    </w:p>
    <w:p w:rsidR="00BE3B9E" w:rsidRDefault="00BE3B9E" w:rsidP="00A9707B">
      <w:pPr>
        <w:spacing w:before="440" w:after="44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bookmarkStart w:id="9" w:name="_Hlk32839527"/>
    </w:p>
    <w:p w:rsidR="001F55F6" w:rsidRDefault="003923AA" w:rsidP="00A9707B">
      <w:pPr>
        <w:spacing w:before="440" w:after="44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ОДЛУКА</w:t>
      </w:r>
      <w:r w:rsidRPr="003923AA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О</w:t>
      </w:r>
      <w:r w:rsidRPr="003923AA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ДОДЕЛИ</w:t>
      </w:r>
      <w:r w:rsidRPr="003923AA"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УГОВОРА</w:t>
      </w:r>
      <w:bookmarkEnd w:id="9"/>
    </w:p>
    <w:p w:rsidR="00BE3B9E" w:rsidRPr="003923AA" w:rsidRDefault="00BE3B9E" w:rsidP="00A9707B">
      <w:pPr>
        <w:spacing w:before="440" w:after="44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:rsidR="001F55F6" w:rsidRPr="003923AA" w:rsidRDefault="003923AA" w:rsidP="001F55F6">
      <w:pPr>
        <w:pStyle w:val="Odjeljci"/>
        <w:spacing w:before="120"/>
        <w:ind w:left="1418" w:hanging="1418"/>
        <w:rPr>
          <w:rFonts w:ascii="Times New Roman" w:eastAsia="Calibri" w:hAnsi="Times New Roman"/>
          <w:lang w:val="sr-Latn-BA"/>
        </w:rPr>
      </w:pPr>
      <w:r>
        <w:rPr>
          <w:rFonts w:ascii="Times New Roman" w:hAnsi="Times New Roman"/>
          <w:b w:val="0"/>
          <w:lang w:val="sr-Latn-BA"/>
        </w:rPr>
        <w:t>Наручилац</w:t>
      </w:r>
      <w:r w:rsidRPr="003923AA">
        <w:rPr>
          <w:rFonts w:ascii="Times New Roman" w:hAnsi="Times New Roman"/>
          <w:b w:val="0"/>
          <w:lang w:val="sr-Latn-BA"/>
        </w:rPr>
        <w:t>:</w:t>
      </w:r>
      <w:r w:rsidRPr="003923AA">
        <w:rPr>
          <w:rFonts w:ascii="Times New Roman" w:hAnsi="Times New Roman"/>
          <w:b w:val="0"/>
          <w:lang w:val="sr-Latn-BA"/>
        </w:rPr>
        <w:tab/>
      </w:r>
      <w:bookmarkStart w:id="10" w:name="22"/>
      <w:bookmarkEnd w:id="10"/>
      <w:r>
        <w:rPr>
          <w:rFonts w:ascii="Times New Roman" w:eastAsia="Calibri" w:hAnsi="Times New Roman"/>
          <w:lang w:val="sr-Latn-BA"/>
        </w:rPr>
        <w:t>Председник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општине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Општинско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веће</w:t>
      </w:r>
    </w:p>
    <w:p w:rsidR="001F55F6" w:rsidRPr="003923AA" w:rsidRDefault="003923AA" w:rsidP="001F55F6">
      <w:pPr>
        <w:pStyle w:val="Odjeljci"/>
        <w:spacing w:before="120"/>
        <w:ind w:left="1418" w:hanging="1418"/>
        <w:rPr>
          <w:rFonts w:ascii="Times New Roman" w:eastAsia="Calibri" w:hAnsi="Times New Roman"/>
          <w:lang w:val="sr-Latn-BA"/>
        </w:rPr>
      </w:pPr>
      <w:r>
        <w:rPr>
          <w:rFonts w:ascii="Times New Roman" w:hAnsi="Times New Roman"/>
          <w:b w:val="0"/>
          <w:lang w:val="sr-Latn-BA"/>
        </w:rPr>
        <w:t>Референтни</w:t>
      </w:r>
      <w:r w:rsidRPr="003923AA">
        <w:rPr>
          <w:rFonts w:ascii="Times New Roman" w:hAnsi="Times New Roman"/>
          <w:b w:val="0"/>
          <w:lang w:val="sr-Latn-BA"/>
        </w:rPr>
        <w:t xml:space="preserve"> </w:t>
      </w:r>
      <w:r>
        <w:rPr>
          <w:rFonts w:ascii="Times New Roman" w:hAnsi="Times New Roman"/>
          <w:b w:val="0"/>
          <w:lang w:val="sr-Latn-BA"/>
        </w:rPr>
        <w:t>број</w:t>
      </w:r>
      <w:r w:rsidRPr="003923AA">
        <w:rPr>
          <w:rFonts w:ascii="Times New Roman" w:hAnsi="Times New Roman"/>
          <w:b w:val="0"/>
          <w:lang w:val="sr-Latn-BA"/>
        </w:rPr>
        <w:t>:</w:t>
      </w:r>
      <w:r w:rsidRPr="003923AA">
        <w:rPr>
          <w:rFonts w:ascii="Times New Roman" w:hAnsi="Times New Roman"/>
          <w:b w:val="0"/>
          <w:lang w:val="sr-Latn-BA"/>
        </w:rPr>
        <w:tab/>
      </w:r>
      <w:bookmarkStart w:id="11" w:name="19"/>
      <w:bookmarkEnd w:id="11"/>
      <w:r w:rsidRPr="003923AA">
        <w:rPr>
          <w:rFonts w:ascii="Times New Roman" w:eastAsia="Calibri" w:hAnsi="Times New Roman"/>
          <w:lang w:val="sr-Latn-BA"/>
        </w:rPr>
        <w:t>400-763/22</w:t>
      </w:r>
    </w:p>
    <w:p w:rsidR="001F55F6" w:rsidRPr="003923AA" w:rsidRDefault="003923AA" w:rsidP="001F55F6">
      <w:pPr>
        <w:pStyle w:val="Odjeljci"/>
        <w:spacing w:before="120"/>
        <w:ind w:left="1418" w:hanging="1418"/>
        <w:rPr>
          <w:rFonts w:ascii="Times New Roman" w:eastAsia="Calibri" w:hAnsi="Times New Roman"/>
          <w:lang w:val="sr-Latn-BA"/>
        </w:rPr>
      </w:pPr>
      <w:r>
        <w:rPr>
          <w:rFonts w:ascii="Times New Roman" w:hAnsi="Times New Roman"/>
          <w:b w:val="0"/>
          <w:lang w:val="sr-Latn-BA"/>
        </w:rPr>
        <w:t>Назив</w:t>
      </w:r>
      <w:r w:rsidRPr="003923AA">
        <w:rPr>
          <w:rFonts w:ascii="Times New Roman" w:hAnsi="Times New Roman"/>
          <w:b w:val="0"/>
          <w:lang w:val="sr-Latn-BA"/>
        </w:rPr>
        <w:t xml:space="preserve"> </w:t>
      </w:r>
      <w:r>
        <w:rPr>
          <w:rFonts w:ascii="Times New Roman" w:hAnsi="Times New Roman"/>
          <w:b w:val="0"/>
          <w:lang w:val="sr-Latn-BA"/>
        </w:rPr>
        <w:t>набавке</w:t>
      </w:r>
      <w:r w:rsidRPr="003923AA">
        <w:rPr>
          <w:rFonts w:ascii="Times New Roman" w:hAnsi="Times New Roman"/>
          <w:b w:val="0"/>
          <w:lang w:val="sr-Latn-BA"/>
        </w:rPr>
        <w:t>:</w:t>
      </w:r>
      <w:r w:rsidRPr="003923AA">
        <w:rPr>
          <w:rFonts w:ascii="Times New Roman" w:hAnsi="Times New Roman"/>
          <w:b w:val="0"/>
          <w:lang w:val="sr-Latn-BA"/>
        </w:rPr>
        <w:tab/>
      </w:r>
      <w:bookmarkStart w:id="12" w:name="18"/>
      <w:bookmarkEnd w:id="12"/>
      <w:r>
        <w:rPr>
          <w:rFonts w:ascii="Times New Roman" w:eastAsia="Calibri" w:hAnsi="Times New Roman"/>
          <w:lang w:val="sr-Latn-BA"/>
        </w:rPr>
        <w:t>Оглашавање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у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штампаном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медију</w:t>
      </w:r>
      <w:r w:rsidRPr="003923AA">
        <w:rPr>
          <w:rFonts w:ascii="Times New Roman" w:eastAsia="Calibri" w:hAnsi="Times New Roman"/>
          <w:lang w:val="sr-Latn-BA"/>
        </w:rPr>
        <w:t xml:space="preserve"> – </w:t>
      </w:r>
      <w:r>
        <w:rPr>
          <w:rFonts w:ascii="Times New Roman" w:eastAsia="Calibri" w:hAnsi="Times New Roman"/>
          <w:lang w:val="sr-Latn-BA"/>
        </w:rPr>
        <w:t>часопису</w:t>
      </w:r>
      <w:r w:rsidRPr="003923AA">
        <w:rPr>
          <w:rFonts w:ascii="Times New Roman" w:eastAsia="Calibri" w:hAnsi="Times New Roman"/>
          <w:lang w:val="sr-Latn-BA"/>
        </w:rPr>
        <w:t xml:space="preserve">  </w:t>
      </w:r>
      <w:r>
        <w:rPr>
          <w:rFonts w:ascii="Times New Roman" w:eastAsia="Calibri" w:hAnsi="Times New Roman"/>
          <w:lang w:val="sr-Latn-BA"/>
        </w:rPr>
        <w:t>који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има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српско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</w:t>
      </w:r>
      <w:r w:rsidRPr="003923AA">
        <w:rPr>
          <w:rFonts w:ascii="Times New Roman" w:eastAsia="Calibri" w:hAnsi="Times New Roman"/>
          <w:lang w:val="sr-Latn-BA"/>
        </w:rPr>
        <w:t xml:space="preserve">  </w:t>
      </w:r>
      <w:r>
        <w:rPr>
          <w:rFonts w:ascii="Times New Roman" w:eastAsia="Calibri" w:hAnsi="Times New Roman"/>
          <w:lang w:val="sr-Latn-BA"/>
        </w:rPr>
        <w:t>енглеско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издање</w:t>
      </w:r>
      <w:r w:rsidRPr="003923AA">
        <w:rPr>
          <w:rFonts w:ascii="Times New Roman" w:eastAsia="Calibri" w:hAnsi="Times New Roman"/>
          <w:lang w:val="sr-Latn-BA"/>
        </w:rPr>
        <w:t>.</w:t>
      </w:r>
    </w:p>
    <w:p w:rsidR="001F55F6" w:rsidRPr="003923AA" w:rsidRDefault="003923AA" w:rsidP="003406EF">
      <w:pPr>
        <w:tabs>
          <w:tab w:val="left" w:pos="3119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Број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огласа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на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Порталу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јавних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набавки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3406EF" w:rsidRPr="003923AA">
        <w:rPr>
          <w:rFonts w:ascii="Times New Roman" w:hAnsi="Times New Roman" w:cs="Times New Roman"/>
          <w:b/>
          <w:sz w:val="24"/>
          <w:szCs w:val="24"/>
        </w:rPr>
        <w:tab/>
      </w:r>
      <w:bookmarkStart w:id="13" w:name="17"/>
      <w:bookmarkEnd w:id="13"/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2022/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С</w:t>
      </w:r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Ф</w:t>
      </w:r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02-0011143</w:t>
      </w:r>
    </w:p>
    <w:p w:rsidR="001F55F6" w:rsidRPr="003923AA" w:rsidRDefault="003923AA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="Times New Roman" w:hAnsi="Times New Roman"/>
          <w:lang w:val="sr-Latn-BA"/>
        </w:rPr>
      </w:pPr>
      <w:r>
        <w:rPr>
          <w:rFonts w:ascii="Times New Roman" w:hAnsi="Times New Roman"/>
          <w:b w:val="0"/>
          <w:lang w:val="sr-Latn-BA"/>
        </w:rPr>
        <w:t>Врста</w:t>
      </w:r>
      <w:r w:rsidRPr="003923AA">
        <w:rPr>
          <w:rFonts w:ascii="Times New Roman" w:hAnsi="Times New Roman"/>
          <w:b w:val="0"/>
          <w:lang w:val="sr-Latn-BA"/>
        </w:rPr>
        <w:t xml:space="preserve"> </w:t>
      </w:r>
      <w:r>
        <w:rPr>
          <w:rFonts w:ascii="Times New Roman" w:hAnsi="Times New Roman"/>
          <w:b w:val="0"/>
          <w:lang w:val="sr-Latn-BA"/>
        </w:rPr>
        <w:t>уговора</w:t>
      </w:r>
      <w:r w:rsidR="003406EF" w:rsidRPr="003923AA">
        <w:rPr>
          <w:rFonts w:ascii="Times New Roman" w:hAnsi="Times New Roman"/>
          <w:b w:val="0"/>
          <w:lang w:val="sr-Latn-BA"/>
        </w:rPr>
        <w:tab/>
      </w:r>
      <w:r w:rsidRPr="003923AA">
        <w:rPr>
          <w:rFonts w:ascii="Times New Roman" w:hAnsi="Times New Roman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3923AA">
        <w:rPr>
          <w:rFonts w:ascii="Times New Roman" w:hAnsi="Times New Roman"/>
          <w:b w:val="0"/>
          <w:lang w:val="sr-Latn-BA"/>
        </w:rPr>
        <w:instrText xml:space="preserve"> FORMCHECKBOX </w:instrText>
      </w:r>
      <w:r w:rsidR="004E309F">
        <w:rPr>
          <w:rFonts w:ascii="Times New Roman" w:hAnsi="Times New Roman"/>
        </w:rPr>
      </w:r>
      <w:r w:rsidR="004E309F">
        <w:rPr>
          <w:rFonts w:ascii="Times New Roman" w:hAnsi="Times New Roman"/>
        </w:rPr>
        <w:fldChar w:fldCharType="separate"/>
      </w:r>
      <w:r w:rsidRPr="003923AA">
        <w:rPr>
          <w:rFonts w:ascii="Times New Roman" w:hAnsi="Times New Roman"/>
        </w:rPr>
        <w:fldChar w:fldCharType="end"/>
      </w:r>
      <w:bookmarkEnd w:id="14"/>
      <w:r w:rsidRPr="003923AA">
        <w:rPr>
          <w:rFonts w:ascii="Times New Roman" w:hAnsi="Times New Roman"/>
        </w:rPr>
        <w:t> </w:t>
      </w:r>
      <w:r>
        <w:rPr>
          <w:rFonts w:ascii="Times New Roman" w:hAnsi="Times New Roman"/>
          <w:b w:val="0"/>
          <w:lang w:val="sr-Latn-BA"/>
        </w:rPr>
        <w:t>Радови</w:t>
      </w:r>
      <w:r w:rsidR="003406EF" w:rsidRPr="003923AA">
        <w:rPr>
          <w:rFonts w:ascii="Times New Roman" w:hAnsi="Times New Roman"/>
          <w:b w:val="0"/>
          <w:lang w:val="sr-Latn-BA"/>
        </w:rPr>
        <w:tab/>
      </w:r>
      <w:r w:rsidRPr="003923AA">
        <w:rPr>
          <w:rFonts w:ascii="Times New Roman" w:hAnsi="Times New Roman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3923AA">
        <w:rPr>
          <w:rFonts w:ascii="Times New Roman" w:hAnsi="Times New Roman"/>
          <w:b w:val="0"/>
          <w:lang w:val="sr-Latn-BA"/>
        </w:rPr>
        <w:instrText xml:space="preserve"> FORMCHECKBOX </w:instrText>
      </w:r>
      <w:r w:rsidR="004E309F">
        <w:rPr>
          <w:rFonts w:ascii="Times New Roman" w:hAnsi="Times New Roman"/>
        </w:rPr>
      </w:r>
      <w:r w:rsidR="004E309F">
        <w:rPr>
          <w:rFonts w:ascii="Times New Roman" w:hAnsi="Times New Roman"/>
        </w:rPr>
        <w:fldChar w:fldCharType="separate"/>
      </w:r>
      <w:r w:rsidRPr="003923AA">
        <w:rPr>
          <w:rFonts w:ascii="Times New Roman" w:hAnsi="Times New Roman"/>
        </w:rPr>
        <w:fldChar w:fldCharType="end"/>
      </w:r>
      <w:bookmarkEnd w:id="15"/>
      <w:r w:rsidRPr="003923AA">
        <w:rPr>
          <w:rFonts w:ascii="Times New Roman" w:hAnsi="Times New Roman"/>
        </w:rPr>
        <w:t> </w:t>
      </w:r>
      <w:r>
        <w:rPr>
          <w:rFonts w:ascii="Times New Roman" w:hAnsi="Times New Roman"/>
          <w:b w:val="0"/>
          <w:lang w:val="sr-Latn-BA"/>
        </w:rPr>
        <w:t>Добра</w:t>
      </w:r>
      <w:r w:rsidR="003406EF" w:rsidRPr="003923AA">
        <w:rPr>
          <w:rFonts w:ascii="Times New Roman" w:hAnsi="Times New Roman"/>
          <w:b w:val="0"/>
          <w:lang w:val="sr-Latn-BA"/>
        </w:rPr>
        <w:tab/>
      </w:r>
      <w:r w:rsidRPr="003923AA">
        <w:rPr>
          <w:rFonts w:ascii="Times New Roman" w:hAnsi="Times New Roman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3923AA">
        <w:rPr>
          <w:rFonts w:ascii="Times New Roman" w:hAnsi="Times New Roman"/>
          <w:b w:val="0"/>
          <w:lang w:val="sr-Latn-BA"/>
        </w:rPr>
        <w:instrText xml:space="preserve"> FORMCHECKBOX </w:instrText>
      </w:r>
      <w:r w:rsidR="004E309F">
        <w:rPr>
          <w:rFonts w:ascii="Times New Roman" w:hAnsi="Times New Roman"/>
        </w:rPr>
      </w:r>
      <w:r w:rsidR="004E309F">
        <w:rPr>
          <w:rFonts w:ascii="Times New Roman" w:hAnsi="Times New Roman"/>
        </w:rPr>
        <w:fldChar w:fldCharType="separate"/>
      </w:r>
      <w:r w:rsidRPr="003923AA">
        <w:rPr>
          <w:rFonts w:ascii="Times New Roman" w:hAnsi="Times New Roman"/>
        </w:rPr>
        <w:fldChar w:fldCharType="end"/>
      </w:r>
      <w:bookmarkEnd w:id="16"/>
      <w:r w:rsidRPr="003923AA">
        <w:rPr>
          <w:rFonts w:ascii="Times New Roman" w:hAnsi="Times New Roman"/>
        </w:rPr>
        <w:t> </w:t>
      </w:r>
      <w:r>
        <w:rPr>
          <w:rFonts w:ascii="Times New Roman" w:hAnsi="Times New Roman"/>
          <w:b w:val="0"/>
          <w:lang w:val="sr-Latn-BA"/>
        </w:rPr>
        <w:t>Услуге</w:t>
      </w:r>
    </w:p>
    <w:p w:rsidR="001F55F6" w:rsidRPr="003923AA" w:rsidRDefault="003923AA" w:rsidP="00B84A8C">
      <w:pPr>
        <w:pStyle w:val="Odjeljci"/>
        <w:spacing w:before="120"/>
        <w:ind w:left="2155" w:hanging="2155"/>
        <w:rPr>
          <w:rFonts w:ascii="Times New Roman" w:eastAsia="Calibri" w:hAnsi="Times New Roman"/>
          <w:lang w:val="sr-Latn-BA"/>
        </w:rPr>
      </w:pPr>
      <w:r>
        <w:rPr>
          <w:rFonts w:ascii="Times New Roman" w:hAnsi="Times New Roman"/>
          <w:b w:val="0"/>
          <w:lang w:val="sr-Latn-BA"/>
        </w:rPr>
        <w:t>Главна</w:t>
      </w:r>
      <w:r w:rsidRPr="003923AA">
        <w:rPr>
          <w:rFonts w:ascii="Times New Roman" w:hAnsi="Times New Roman"/>
          <w:b w:val="0"/>
          <w:lang w:val="sr-Latn-BA"/>
        </w:rPr>
        <w:t xml:space="preserve"> </w:t>
      </w:r>
      <w:r>
        <w:rPr>
          <w:rFonts w:ascii="Times New Roman" w:hAnsi="Times New Roman"/>
          <w:b w:val="0"/>
          <w:lang w:val="sr-Latn-BA"/>
        </w:rPr>
        <w:t>ЦПВ</w:t>
      </w:r>
      <w:r w:rsidRPr="003923AA">
        <w:rPr>
          <w:rFonts w:ascii="Times New Roman" w:hAnsi="Times New Roman"/>
          <w:b w:val="0"/>
          <w:lang w:val="sr-Latn-BA"/>
        </w:rPr>
        <w:t xml:space="preserve"> </w:t>
      </w:r>
      <w:r>
        <w:rPr>
          <w:rFonts w:ascii="Times New Roman" w:hAnsi="Times New Roman"/>
          <w:b w:val="0"/>
          <w:lang w:val="sr-Latn-BA"/>
        </w:rPr>
        <w:t>ознака</w:t>
      </w:r>
      <w:r w:rsidRPr="003923AA">
        <w:rPr>
          <w:rFonts w:ascii="Times New Roman" w:hAnsi="Times New Roman"/>
          <w:b w:val="0"/>
          <w:lang w:val="sr-Latn-BA"/>
        </w:rPr>
        <w:t>:</w:t>
      </w:r>
      <w:r w:rsidR="003406EF" w:rsidRPr="003923AA">
        <w:rPr>
          <w:rFonts w:ascii="Times New Roman" w:hAnsi="Times New Roman"/>
          <w:b w:val="0"/>
          <w:lang w:val="sr-Latn-BA"/>
        </w:rPr>
        <w:tab/>
      </w:r>
      <w:bookmarkStart w:id="17" w:name="20"/>
      <w:bookmarkEnd w:id="17"/>
      <w:r w:rsidRPr="003923AA">
        <w:rPr>
          <w:rFonts w:ascii="Times New Roman" w:eastAsia="Calibri" w:hAnsi="Times New Roman"/>
          <w:lang w:val="sr-Latn-BA"/>
        </w:rPr>
        <w:t>79340000</w:t>
      </w:r>
    </w:p>
    <w:p w:rsidR="001F55F6" w:rsidRPr="003923AA" w:rsidRDefault="003923AA" w:rsidP="00B84A8C">
      <w:pPr>
        <w:pStyle w:val="Odjeljci"/>
        <w:spacing w:before="120"/>
        <w:ind w:left="2155" w:hanging="2155"/>
        <w:rPr>
          <w:rFonts w:ascii="Times New Roman" w:eastAsia="Calibri" w:hAnsi="Times New Roman"/>
          <w:lang w:val="sr-Latn-BA"/>
        </w:rPr>
      </w:pPr>
      <w:r>
        <w:rPr>
          <w:rFonts w:ascii="Times New Roman" w:hAnsi="Times New Roman"/>
          <w:b w:val="0"/>
          <w:bCs w:val="0"/>
          <w:lang w:val="sr-Latn-BA"/>
        </w:rPr>
        <w:t>Назив</w:t>
      </w:r>
      <w:r w:rsidRPr="003923AA">
        <w:rPr>
          <w:rFonts w:ascii="Times New Roman" w:hAnsi="Times New Roman"/>
          <w:b w:val="0"/>
          <w:bCs w:val="0"/>
          <w:lang w:val="sr-Latn-BA"/>
        </w:rPr>
        <w:t xml:space="preserve"> </w:t>
      </w:r>
      <w:r>
        <w:rPr>
          <w:rFonts w:ascii="Times New Roman" w:hAnsi="Times New Roman"/>
          <w:b w:val="0"/>
          <w:bCs w:val="0"/>
          <w:lang w:val="sr-Latn-BA"/>
        </w:rPr>
        <w:t>предмета</w:t>
      </w:r>
      <w:r w:rsidRPr="003923AA">
        <w:rPr>
          <w:rFonts w:ascii="Times New Roman" w:hAnsi="Times New Roman"/>
          <w:b w:val="0"/>
          <w:bCs w:val="0"/>
          <w:lang w:val="sr-Latn-BA"/>
        </w:rPr>
        <w:t xml:space="preserve"> / </w:t>
      </w:r>
      <w:r>
        <w:rPr>
          <w:rFonts w:ascii="Times New Roman" w:hAnsi="Times New Roman"/>
          <w:b w:val="0"/>
          <w:bCs w:val="0"/>
          <w:lang w:val="sr-Latn-BA"/>
        </w:rPr>
        <w:t>партије</w:t>
      </w:r>
      <w:r w:rsidRPr="003923AA">
        <w:rPr>
          <w:rFonts w:ascii="Times New Roman" w:hAnsi="Times New Roman"/>
          <w:b w:val="0"/>
          <w:bCs w:val="0"/>
          <w:lang w:val="sr-Latn-BA"/>
        </w:rPr>
        <w:t>:</w:t>
      </w:r>
      <w:r w:rsidR="003406EF" w:rsidRPr="003923AA">
        <w:rPr>
          <w:rFonts w:ascii="Times New Roman" w:hAnsi="Times New Roman"/>
          <w:b w:val="0"/>
          <w:bCs w:val="0"/>
          <w:lang w:val="sr-Latn-BA"/>
        </w:rPr>
        <w:tab/>
      </w:r>
      <w:bookmarkStart w:id="18" w:name="1"/>
      <w:bookmarkEnd w:id="18"/>
      <w:r>
        <w:rPr>
          <w:rFonts w:ascii="Times New Roman" w:eastAsia="Calibri" w:hAnsi="Times New Roman"/>
          <w:lang w:val="sr-Latn-BA"/>
        </w:rPr>
        <w:t>Оглашавање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у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штампаном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медију</w:t>
      </w:r>
      <w:r w:rsidRPr="003923AA">
        <w:rPr>
          <w:rFonts w:ascii="Times New Roman" w:eastAsia="Calibri" w:hAnsi="Times New Roman"/>
          <w:lang w:val="sr-Latn-BA"/>
        </w:rPr>
        <w:t xml:space="preserve"> – </w:t>
      </w:r>
      <w:r>
        <w:rPr>
          <w:rFonts w:ascii="Times New Roman" w:eastAsia="Calibri" w:hAnsi="Times New Roman"/>
          <w:lang w:val="sr-Latn-BA"/>
        </w:rPr>
        <w:t>часопису</w:t>
      </w:r>
      <w:r w:rsidRPr="003923AA">
        <w:rPr>
          <w:rFonts w:ascii="Times New Roman" w:eastAsia="Calibri" w:hAnsi="Times New Roman"/>
          <w:lang w:val="sr-Latn-BA"/>
        </w:rPr>
        <w:t xml:space="preserve">  </w:t>
      </w:r>
      <w:r>
        <w:rPr>
          <w:rFonts w:ascii="Times New Roman" w:eastAsia="Calibri" w:hAnsi="Times New Roman"/>
          <w:lang w:val="sr-Latn-BA"/>
        </w:rPr>
        <w:t>који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има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српско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</w:t>
      </w:r>
      <w:r w:rsidRPr="003923AA">
        <w:rPr>
          <w:rFonts w:ascii="Times New Roman" w:eastAsia="Calibri" w:hAnsi="Times New Roman"/>
          <w:lang w:val="sr-Latn-BA"/>
        </w:rPr>
        <w:t xml:space="preserve">  </w:t>
      </w:r>
      <w:r>
        <w:rPr>
          <w:rFonts w:ascii="Times New Roman" w:eastAsia="Calibri" w:hAnsi="Times New Roman"/>
          <w:lang w:val="sr-Latn-BA"/>
        </w:rPr>
        <w:t>енглеско</w:t>
      </w:r>
      <w:r w:rsidRPr="003923AA">
        <w:rPr>
          <w:rFonts w:ascii="Times New Roman" w:eastAsia="Calibri" w:hAnsi="Times New Roman"/>
          <w:lang w:val="sr-Latn-BA"/>
        </w:rPr>
        <w:t xml:space="preserve"> </w:t>
      </w:r>
      <w:r>
        <w:rPr>
          <w:rFonts w:ascii="Times New Roman" w:eastAsia="Calibri" w:hAnsi="Times New Roman"/>
          <w:lang w:val="sr-Latn-BA"/>
        </w:rPr>
        <w:t>издање</w:t>
      </w:r>
      <w:r w:rsidRPr="003923AA">
        <w:rPr>
          <w:rFonts w:ascii="Times New Roman" w:eastAsia="Calibri" w:hAnsi="Times New Roman"/>
          <w:lang w:val="sr-Latn-BA"/>
        </w:rPr>
        <w:t>.</w:t>
      </w:r>
    </w:p>
    <w:p w:rsidR="001F55F6" w:rsidRPr="003923AA" w:rsidRDefault="003923AA" w:rsidP="001F55F6">
      <w:pPr>
        <w:spacing w:before="120" w:after="120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Процењена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вредност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предмета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sr-Latn-BA"/>
        </w:rPr>
        <w:t>партије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Latn-BA"/>
        </w:rPr>
        <w:t>без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ПДВ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>-</w:t>
      </w:r>
      <w:r>
        <w:rPr>
          <w:rFonts w:ascii="Times New Roman" w:hAnsi="Times New Roman" w:cs="Times New Roman"/>
          <w:sz w:val="24"/>
          <w:szCs w:val="24"/>
          <w:lang w:val="sr-Latn-BA"/>
        </w:rPr>
        <w:t>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>):</w:t>
      </w:r>
      <w:r w:rsidR="00B84A8C" w:rsidRPr="003923AA">
        <w:rPr>
          <w:rFonts w:ascii="Times New Roman" w:hAnsi="Times New Roman" w:cs="Times New Roman"/>
          <w:sz w:val="24"/>
          <w:szCs w:val="24"/>
        </w:rPr>
        <w:t> </w:t>
      </w:r>
      <w:bookmarkStart w:id="19" w:name="2"/>
      <w:bookmarkEnd w:id="19"/>
      <w:r w:rsidR="00B84A8C" w:rsidRPr="003923AA">
        <w:rPr>
          <w:rFonts w:ascii="Times New Roman" w:eastAsia="Calibri" w:hAnsi="Times New Roman" w:cs="Times New Roman"/>
          <w:b/>
          <w:sz w:val="24"/>
          <w:szCs w:val="24"/>
        </w:rPr>
        <w:t>1.000.000,00</w:t>
      </w:r>
      <w:r w:rsidR="00B84A8C" w:rsidRPr="003923AA">
        <w:rPr>
          <w:rFonts w:ascii="Times New Roman" w:hAnsi="Times New Roman" w:cs="Times New Roman"/>
          <w:b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  <w:lang w:val="sr-Latn-BA"/>
        </w:rPr>
        <w:t>Валута</w:t>
      </w:r>
      <w:r w:rsidRPr="003923AA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B84A8C" w:rsidRPr="003923AA">
        <w:rPr>
          <w:rFonts w:ascii="Times New Roman" w:hAnsi="Times New Roman" w:cs="Times New Roman"/>
          <w:sz w:val="24"/>
          <w:szCs w:val="24"/>
        </w:rPr>
        <w:t> </w:t>
      </w:r>
      <w:bookmarkStart w:id="20" w:name="3"/>
      <w:bookmarkEnd w:id="20"/>
      <w:r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РСД</w:t>
      </w:r>
    </w:p>
    <w:p w:rsidR="001F55F6" w:rsidRPr="003923AA" w:rsidRDefault="003923AA" w:rsidP="002A1737">
      <w:pPr>
        <w:tabs>
          <w:tab w:val="left" w:pos="1701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39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2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додељује</w:t>
      </w:r>
      <w:proofErr w:type="spellEnd"/>
      <w:r w:rsidR="00B84A8C" w:rsidRPr="003923AA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10"/>
      <w:bookmarkEnd w:id="21"/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привредном</w:t>
      </w:r>
      <w:proofErr w:type="spellEnd"/>
      <w:r w:rsidRPr="00392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субјекту</w:t>
      </w:r>
      <w:proofErr w:type="spellEnd"/>
      <w:r w:rsidRPr="003923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552D8" w:rsidRPr="003923AA" w:rsidTr="00B84A8C">
        <w:trPr>
          <w:cantSplit/>
        </w:trPr>
        <w:tc>
          <w:tcPr>
            <w:tcW w:w="5000" w:type="pct"/>
            <w:hideMark/>
          </w:tcPr>
          <w:p w:rsidR="001F55F6" w:rsidRPr="003923AA" w:rsidRDefault="003923AA" w:rsidP="002A17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22" w:name="11"/>
            <w:bookmarkEnd w:id="22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ПРИНЦИП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ПРЕС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ДОО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БЕОГРАД</w:t>
            </w:r>
            <w:r w:rsidRPr="003923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, </w:t>
            </w:r>
            <w:bookmarkStart w:id="23" w:name="12"/>
            <w:bookmarkEnd w:id="23"/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103200281</w:t>
            </w:r>
            <w:r w:rsidRPr="003923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, </w:t>
            </w:r>
            <w:bookmarkStart w:id="24" w:name="13"/>
            <w:bookmarkEnd w:id="24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Цетињска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, 6</w:t>
            </w:r>
            <w:r w:rsidRPr="003923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, </w:t>
            </w:r>
            <w:bookmarkStart w:id="25" w:name="14"/>
            <w:bookmarkEnd w:id="25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Београд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Стари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Град</w:t>
            </w:r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)</w:t>
            </w:r>
            <w:r w:rsidRPr="003923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, </w:t>
            </w:r>
            <w:bookmarkStart w:id="26" w:name="15"/>
            <w:bookmarkEnd w:id="26"/>
            <w:r w:rsidRPr="003923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BA"/>
              </w:rPr>
              <w:t>11103</w:t>
            </w:r>
            <w:r w:rsidRPr="003923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, </w:t>
            </w:r>
            <w:bookmarkStart w:id="27" w:name="16"/>
            <w:bookmarkEnd w:id="27"/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Србија</w:t>
            </w:r>
            <w:proofErr w:type="spellEnd"/>
          </w:p>
        </w:tc>
      </w:tr>
    </w:tbl>
    <w:p w:rsidR="00A9707B" w:rsidRPr="003923AA" w:rsidRDefault="00A9707B" w:rsidP="002A1737">
      <w:pPr>
        <w:tabs>
          <w:tab w:val="left" w:pos="2438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:rsidR="001F55F6" w:rsidRPr="003923AA" w:rsidRDefault="003923AA" w:rsidP="00B84A8C">
      <w:pPr>
        <w:tabs>
          <w:tab w:val="left" w:pos="2438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Вредност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без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ПДВ</w:t>
      </w:r>
      <w:r w:rsidRPr="003923AA">
        <w:rPr>
          <w:rFonts w:ascii="Times New Roman" w:hAnsi="Times New Roman" w:cs="Times New Roman"/>
          <w:bCs/>
          <w:sz w:val="24"/>
          <w:szCs w:val="24"/>
        </w:rPr>
        <w:t>):</w:t>
      </w:r>
      <w:r w:rsidR="00B84A8C" w:rsidRPr="003923AA">
        <w:rPr>
          <w:rFonts w:ascii="Times New Roman" w:hAnsi="Times New Roman" w:cs="Times New Roman"/>
          <w:bCs/>
          <w:sz w:val="24"/>
          <w:szCs w:val="24"/>
        </w:rPr>
        <w:tab/>
      </w:r>
      <w:bookmarkStart w:id="28" w:name="4"/>
      <w:bookmarkEnd w:id="28"/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1.000.000</w:t>
      </w:r>
      <w:proofErr w:type="gramStart"/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,00</w:t>
      </w:r>
      <w:proofErr w:type="gramEnd"/>
    </w:p>
    <w:p w:rsidR="001F55F6" w:rsidRPr="003923AA" w:rsidRDefault="003923AA" w:rsidP="00B84A8C">
      <w:pPr>
        <w:tabs>
          <w:tab w:val="left" w:pos="2438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Вредност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392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ПДВ</w:t>
      </w:r>
      <w:r w:rsidRPr="003923AA">
        <w:rPr>
          <w:rFonts w:ascii="Times New Roman" w:hAnsi="Times New Roman" w:cs="Times New Roman"/>
          <w:bCs/>
          <w:sz w:val="24"/>
          <w:szCs w:val="24"/>
        </w:rPr>
        <w:t>):</w:t>
      </w:r>
      <w:r w:rsidR="00B84A8C" w:rsidRPr="003923AA">
        <w:rPr>
          <w:rFonts w:ascii="Times New Roman" w:hAnsi="Times New Roman" w:cs="Times New Roman"/>
          <w:bCs/>
          <w:sz w:val="24"/>
          <w:szCs w:val="24"/>
        </w:rPr>
        <w:tab/>
      </w:r>
      <w:bookmarkStart w:id="29" w:name="5"/>
      <w:bookmarkEnd w:id="29"/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1.200.000</w:t>
      </w:r>
      <w:proofErr w:type="gramStart"/>
      <w:r w:rsidRPr="003923AA"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,00</w:t>
      </w:r>
      <w:proofErr w:type="gramEnd"/>
    </w:p>
    <w:p w:rsidR="001F55F6" w:rsidRPr="003923AA" w:rsidRDefault="003923AA" w:rsidP="00B84A8C">
      <w:pPr>
        <w:tabs>
          <w:tab w:val="left" w:pos="2410"/>
        </w:tabs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Валута</w:t>
      </w:r>
      <w:proofErr w:type="spellEnd"/>
      <w:proofErr w:type="gramStart"/>
      <w:r w:rsidRPr="003923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84A8C" w:rsidRPr="003923AA">
        <w:rPr>
          <w:rFonts w:ascii="Times New Roman" w:hAnsi="Times New Roman" w:cs="Times New Roman"/>
          <w:sz w:val="24"/>
          <w:szCs w:val="24"/>
        </w:rPr>
        <w:t> </w:t>
      </w:r>
      <w:bookmarkStart w:id="30" w:name="6"/>
      <w:bookmarkEnd w:id="30"/>
      <w:r>
        <w:rPr>
          <w:rFonts w:ascii="Times New Roman" w:eastAsia="Calibri" w:hAnsi="Times New Roman" w:cs="Times New Roman"/>
          <w:b/>
          <w:bCs/>
          <w:sz w:val="24"/>
          <w:szCs w:val="24"/>
          <w:lang w:val="sr-Latn-BA"/>
        </w:rPr>
        <w:t>РСД</w:t>
      </w:r>
    </w:p>
    <w:bookmarkEnd w:id="0"/>
    <w:p w:rsidR="00A9707B" w:rsidRPr="003923AA" w:rsidRDefault="00A9707B" w:rsidP="001F55F6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  <w:sectPr w:rsidR="00A9707B" w:rsidRPr="003923AA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7552D8" w:rsidRPr="003923AA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7552D8" w:rsidRPr="003923AA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ОБРАЗЛОЖЕЊЕ</w:t>
                  </w: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rPr>
          <w:trHeight w:val="40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5"/>
              <w:gridCol w:w="11613"/>
            </w:tblGrid>
            <w:tr w:rsidR="007552D8" w:rsidRPr="003923AA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Подаци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поступку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Назив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поступка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Оглашавање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штампаном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медију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часопису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који</w:t>
                  </w:r>
                  <w:proofErr w:type="spellEnd"/>
                  <w:proofErr w:type="gram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има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српско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енглеско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издање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Реф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број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400-763/22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Врста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поступка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Отворени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поступак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Број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датум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одлуке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спровођењу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400-763/22, 25.03.2022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Процењена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вредност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1.000.000,00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Техника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79340000-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Услуге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оглашавања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маркетинга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Кратак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опис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набавке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Подељен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партије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НЕ</w:t>
                  </w:r>
                </w:p>
              </w:tc>
            </w:tr>
            <w:tr w:rsidR="007552D8" w:rsidRPr="003923AA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Образложење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зашто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није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подељен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партије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Није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применљиво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односу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набавке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Број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огласа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2022/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Ф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02-0011143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Врста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огласа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Јавни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позив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Објављено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29.03.2022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подношење</w:t>
                  </w:r>
                  <w:proofErr w:type="spellEnd"/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11.04.2022 12:00:00</w:t>
                  </w: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7552D8" w:rsidRPr="003923AA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Чланови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комисије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јавну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набавку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презиме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Јовановић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правник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Марија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Атанасковић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правник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заменик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члана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Виолета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Костић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полит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Данијела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Јелићанин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полит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заменик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члана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Јасмина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Трифуновић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Ружица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Митровић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дипл</w:t>
                  </w:r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замеик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члана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552D8" w:rsidRPr="003923AA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Подаци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</w:t>
                  </w:r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предмету</w:t>
                  </w:r>
                  <w:proofErr w:type="spellEnd"/>
                  <w:r w:rsidRPr="003923A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партијама</w:t>
                  </w:r>
                  <w:proofErr w:type="spellEnd"/>
                </w:p>
              </w:tc>
            </w:tr>
            <w:tr w:rsidR="007552D8" w:rsidRPr="003923AA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552D8" w:rsidRPr="003923AA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3"/>
                          <w:gridCol w:w="11568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Назив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партије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Оглашавање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штампаном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медију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–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часопису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српско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енглеско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издање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Критеријум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доделу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основу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Цене</w:t>
                              </w:r>
                              <w:proofErr w:type="spellEnd"/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rPr>
          <w:trHeight w:val="56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552D8" w:rsidRPr="003923A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Подаци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о</w:t>
                  </w:r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отварању</w:t>
                  </w:r>
                  <w:proofErr w:type="spellEnd"/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Датум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време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отварања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: 11.04.2022 12:00:00</w:t>
                  </w:r>
                </w:p>
              </w:tc>
            </w:tr>
            <w:tr w:rsidR="007552D8" w:rsidRPr="003923A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Електронско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отварање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понуда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завршено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3923AA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: 11.04.2022 12:07:18</w:t>
                  </w:r>
                </w:p>
              </w:tc>
            </w:tr>
            <w:tr w:rsidR="007552D8" w:rsidRPr="003923AA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552D8" w:rsidRPr="003923A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1"/>
                          <w:gridCol w:w="11567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Број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пристиглих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пријава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09"/>
                          <w:gridCol w:w="2235"/>
                          <w:gridCol w:w="808"/>
                          <w:gridCol w:w="1393"/>
                          <w:gridCol w:w="1513"/>
                          <w:gridCol w:w="2820"/>
                        </w:tblGrid>
                        <w:tr w:rsidR="007552D8" w:rsidRPr="003923AA" w:rsidTr="00BE3B9E">
                          <w:trPr>
                            <w:trHeight w:val="30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Облик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1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Ознака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број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Подизвођачи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Датум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време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подношења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Цетињска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6, 11103,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Стари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Град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Србија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Самостално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1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37/22</w:t>
                              </w:r>
                            </w:p>
                          </w:tc>
                          <w:tc>
                            <w:tcPr>
                              <w:tcW w:w="15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8.4.2022. 09:36:14</w:t>
                              </w:r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Приспели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делови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пријаве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нису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поднети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путем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Портала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8769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Сви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делови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нису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поднети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путем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Портала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приспели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благовремено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8769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Делови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нису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поднети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путем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Портала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043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Датум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време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пријема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726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Опис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примљеног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дела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65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7552D8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043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11.4.2022. 10:51:00</w:t>
                              </w:r>
                            </w:p>
                          </w:tc>
                          <w:tc>
                            <w:tcPr>
                              <w:tcW w:w="5726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један</w:t>
                              </w:r>
                              <w:proofErr w:type="spellEnd"/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узорак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часописа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српском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енглеском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језику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оглашавању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медијима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47/21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22.04.2021.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закључен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Институтом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ратарство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повртарство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-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51/20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28.05.2020.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.,</w:t>
                              </w:r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закључен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Општином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-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132/21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31.12.2021.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год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.,</w:t>
                              </w:r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закључен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Специјалном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болницом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лечење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рехабилитацију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Меркур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Врњачка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Бања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>-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75/21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12.07.2021.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год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.,</w:t>
                              </w:r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закључен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Туристичком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организацијом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Ниш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49/20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20.05.2020.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год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закључен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Градом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Суботица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gridSpan w:val="2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>
        <w:trPr>
          <w:trHeight w:val="62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gridSpan w:val="2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c>
          <w:tcPr>
            <w:tcW w:w="15397" w:type="dxa"/>
            <w:shd w:val="clear" w:color="auto" w:fill="auto"/>
          </w:tcPr>
          <w:p w:rsidR="00BE3B9E" w:rsidRDefault="00BE3B9E"/>
          <w:p w:rsidR="00BE3B9E" w:rsidRDefault="00BE3B9E"/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552D8" w:rsidRPr="003923AA" w:rsidTr="00BE3B9E">
              <w:trPr>
                <w:trHeight w:val="382"/>
              </w:trPr>
              <w:tc>
                <w:tcPr>
                  <w:tcW w:w="15358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Аналитички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приказ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поднетих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понуда</w:t>
                  </w:r>
                  <w:proofErr w:type="spellEnd"/>
                </w:p>
              </w:tc>
            </w:tr>
            <w:tr w:rsidR="007552D8" w:rsidRPr="003923AA" w:rsidTr="00BE3B9E">
              <w:trPr>
                <w:trHeight w:val="1020"/>
              </w:trPr>
              <w:tc>
                <w:tcPr>
                  <w:tcW w:w="153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79"/>
                    <w:gridCol w:w="79"/>
                  </w:tblGrid>
                  <w:tr w:rsidR="007552D8" w:rsidRPr="003923A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15222" w:type="dxa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51"/>
                          <w:gridCol w:w="1218"/>
                          <w:gridCol w:w="1218"/>
                          <w:gridCol w:w="1092"/>
                          <w:gridCol w:w="6692"/>
                          <w:gridCol w:w="2551"/>
                        </w:tblGrid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7552D8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528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Подаци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243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Остали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захтеви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Валута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Рок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начин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плаћања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Рок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важења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1200000.00</w:t>
                              </w:r>
                            </w:p>
                          </w:tc>
                          <w:tc>
                            <w:tcPr>
                              <w:tcW w:w="10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6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року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45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службеног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пријема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исправне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фактуре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rPr>
          <w:trHeight w:val="50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552D8" w:rsidRPr="003923A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Аналитички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приказ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понуда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након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допуштених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исправки</w:t>
                  </w:r>
                  <w:proofErr w:type="spellEnd"/>
                </w:p>
              </w:tc>
            </w:tr>
            <w:tr w:rsidR="007552D8" w:rsidRPr="003923AA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79"/>
                    <w:gridCol w:w="79"/>
                  </w:tblGrid>
                  <w:tr w:rsidR="007552D8" w:rsidRPr="003923AA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15222" w:type="dxa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50"/>
                          <w:gridCol w:w="1218"/>
                          <w:gridCol w:w="1218"/>
                          <w:gridCol w:w="1092"/>
                          <w:gridCol w:w="6693"/>
                          <w:gridCol w:w="2551"/>
                        </w:tblGrid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7552D8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528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Подаци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244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Остали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захтеви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Валута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Рок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начин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плаћања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Рок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важења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</w:p>
                          </w:tc>
                        </w:tr>
                        <w:tr w:rsidR="007552D8" w:rsidRPr="003923AA" w:rsidTr="00BE3B9E">
                          <w:trPr>
                            <w:trHeight w:val="262"/>
                          </w:trPr>
                          <w:tc>
                            <w:tcPr>
                              <w:tcW w:w="24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12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1200000.00</w:t>
                              </w:r>
                            </w:p>
                          </w:tc>
                          <w:tc>
                            <w:tcPr>
                              <w:tcW w:w="10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6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року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45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службеног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пријема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исправне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фактуре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30 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rPr>
          <w:trHeight w:val="48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7552D8" w:rsidRPr="003923AA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52D8" w:rsidRPr="003923AA" w:rsidRDefault="003923AA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Стручна</w:t>
                  </w:r>
                  <w:proofErr w:type="spellEnd"/>
                  <w:r w:rsidRPr="003923AA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оцена</w:t>
                  </w:r>
                  <w:proofErr w:type="spellEnd"/>
                </w:p>
              </w:tc>
            </w:tr>
            <w:tr w:rsidR="007552D8" w:rsidRPr="003923AA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71"/>
                  </w:tblGrid>
                  <w:tr w:rsidR="007552D8" w:rsidRPr="003923AA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3"/>
                          <w:gridCol w:w="2144"/>
                          <w:gridCol w:w="2144"/>
                          <w:gridCol w:w="898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Прихватљиво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Одбијено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разматра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Износ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Износ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Валута</w:t>
                              </w:r>
                              <w:proofErr w:type="spellEnd"/>
                            </w:p>
                          </w:tc>
                        </w:tr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1.000.000,00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РСД</w:t>
                              </w:r>
                            </w:p>
                          </w:tc>
                        </w:tr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Напомена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уз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преглед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Увидом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јавно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доступне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податке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Комисија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ЈН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констатује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Друштво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услуге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области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издаваштва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маркетинга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пропаганде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,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регистрован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Регистру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сходно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члану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128 .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став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6)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ЗЈН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основа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искључење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члана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111.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став</w:t>
                              </w:r>
                              <w:proofErr w:type="spellEnd"/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1.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тача</w:t>
                              </w:r>
                              <w:proofErr w:type="spellEnd"/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1)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2)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Закона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Изјавама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непостојанују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основа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искључење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чл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111.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Закона</w:t>
                              </w:r>
                              <w:proofErr w:type="spellEnd"/>
                              <w:proofErr w:type="gramStart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складу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условима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дефинисаним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кнкурсном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документацијом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потврдило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непостојање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основа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искључење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путем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Портала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јавних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набавки</w:t>
                              </w:r>
                              <w:proofErr w:type="spellEnd"/>
                              <w:proofErr w:type="gramStart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приликом</w:t>
                              </w:r>
                              <w:proofErr w:type="spellEnd"/>
                              <w:proofErr w:type="gram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подношења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доставио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доказе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испуњности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критеријума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квалитативни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избор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привредног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субјекта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Након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прегледа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оцене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свих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релевантних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доказа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Комисија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понуду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оценила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прихватљиву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утврдила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постоје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основи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искључење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привреног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субјекта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испуњени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критеријуми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квалитативни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избор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привредног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субјекта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складу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чл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146.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Закона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предлаже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наручиоцу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јавној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набавци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услуге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оглашавања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штампаном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медију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часопису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српско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енглеско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издање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додели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износу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понуђене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цене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1.000,000,00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динара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без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односно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1.200,000,00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динара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rPr>
          <w:trHeight w:val="14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0"/>
            </w:tblGrid>
            <w:tr w:rsidR="007552D8" w:rsidRPr="003923AA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552D8" w:rsidRPr="003923A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ће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доделити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c>
                        </w:tr>
                        <w:tr w:rsidR="007552D8" w:rsidRPr="003923A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Сукоб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интереса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утврђен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мере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поводом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тога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предузете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Није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утврђен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сукоб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интереса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  <w:tr w:rsidR="007552D8" w:rsidRPr="003923A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Додатни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подаци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Напомена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7552D8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5"/>
                          <w:gridCol w:w="7303"/>
                          <w:gridCol w:w="1896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Понуђач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Ранг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Образложење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ранга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Бира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</w:t>
                              </w:r>
                              <w:proofErr w:type="spellEnd"/>
                            </w:p>
                          </w:tc>
                        </w:tr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Цена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понуде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1.000.000,00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Образложење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избора</w:t>
                              </w:r>
                              <w:proofErr w:type="spellEnd"/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552D8" w:rsidRPr="003923A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552D8" w:rsidRPr="003923AA" w:rsidRDefault="003923AA">
                              <w:pPr>
                                <w:spacing w:before="0" w:after="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Комисија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констатује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страни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наручиоца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складу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чл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. 146.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ЗЈН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испуњени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услови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за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доделу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уговора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предлаже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наручиоцу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уговор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јавној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набавци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услуге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оглашавања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штампаном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медију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часопису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који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има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српско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енглеско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издање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додели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понуђача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Принцип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прес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доо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износу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понуђене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цене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од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1.000,000,00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динара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без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одн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. 1.200,000,00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динара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са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ПДВ</w:t>
                              </w:r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ом</w:t>
                              </w:r>
                              <w:proofErr w:type="spellEnd"/>
                              <w:r w:rsidRPr="003923AA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552D8" w:rsidRPr="003923A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552D8" w:rsidRPr="003923AA" w:rsidRDefault="007552D8">
                        <w:pPr>
                          <w:spacing w:before="0"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2D8" w:rsidRPr="003923AA" w:rsidRDefault="007552D8">
                  <w:pPr>
                    <w:spacing w:before="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2D8" w:rsidRPr="003923AA" w:rsidTr="00BE3B9E">
        <w:trPr>
          <w:trHeight w:val="523"/>
        </w:trPr>
        <w:tc>
          <w:tcPr>
            <w:tcW w:w="15397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shd w:val="clear" w:color="auto" w:fill="auto"/>
          </w:tcPr>
          <w:p w:rsidR="007552D8" w:rsidRPr="003923AA" w:rsidRDefault="007552D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BDD" w:rsidRPr="00C10584" w:rsidRDefault="00645BDD" w:rsidP="00645BDD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Начелник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Општинске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управе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као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одговорно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лице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Наручиоца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прихватио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је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предлог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Комисије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уговор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о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јавној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10584">
        <w:rPr>
          <w:rFonts w:ascii="Times New Roman" w:eastAsia="Calibri" w:hAnsi="Times New Roman" w:cs="Times New Roman"/>
          <w:b/>
          <w:sz w:val="24"/>
          <w:szCs w:val="24"/>
        </w:rPr>
        <w:t>набавци</w:t>
      </w:r>
      <w:proofErr w:type="spellEnd"/>
      <w:r w:rsidRPr="00C105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услуге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оглашавања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у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штампаном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медију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часопису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има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српско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и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енглеско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издање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додели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понуђача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"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Принцип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прес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доо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у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вредности</w:t>
      </w:r>
      <w:proofErr w:type="spellEnd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од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1.000,000,00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динара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без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ПДВ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а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одн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1.200,000,00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динара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са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ПДВ</w:t>
      </w:r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>-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ом</w:t>
      </w:r>
      <w:proofErr w:type="spellEnd"/>
      <w:r w:rsidRPr="003923AA">
        <w:rPr>
          <w:rFonts w:ascii="Times New Roman" w:eastAsia="Arial" w:hAnsi="Times New Roman" w:cs="Times New Roman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:rsidR="007552D8" w:rsidRDefault="007552D8"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45BDD" w:rsidRPr="003923AA" w:rsidRDefault="00645BDD" w:rsidP="00645BDD">
      <w:pPr>
        <w:spacing w:before="120" w:after="12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Упутство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о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правом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средству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:</w:t>
      </w:r>
    </w:p>
    <w:p w:rsidR="00645BDD" w:rsidRDefault="00645BDD" w:rsidP="00645BDD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Latn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Против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ове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одлуке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понуђач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може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поднесе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захтев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заштиту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права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року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десет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објављивања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Порталу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јавних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набавки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складу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одредбама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Закона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јавним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набавкама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Службени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гласник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број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91/19)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645BDD" w:rsidRDefault="00645BDD" w:rsidP="00645BDD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645BDD" w:rsidRPr="003923AA" w:rsidRDefault="00645BDD" w:rsidP="00645BDD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645BDD" w:rsidRPr="007F17AA" w:rsidRDefault="00645BDD" w:rsidP="00645BDD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Обрадила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                                                            </w:t>
      </w:r>
      <w:r w:rsidR="007F17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                  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="007F17AA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 општине</w:t>
      </w:r>
    </w:p>
    <w:p w:rsidR="00645BDD" w:rsidRPr="007F17AA" w:rsidRDefault="00645BDD" w:rsidP="00645BDD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Ружица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Митровић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                      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="007F17A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Pr="00907E92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="007F17AA">
        <w:rPr>
          <w:rFonts w:ascii="Times New Roman" w:eastAsia="Calibri" w:hAnsi="Times New Roman" w:cs="Times New Roman"/>
          <w:sz w:val="24"/>
          <w:szCs w:val="24"/>
          <w:lang w:val="sr-Cyrl-RS"/>
        </w:rPr>
        <w:t>Бобан Ђуровић</w:t>
      </w:r>
    </w:p>
    <w:p w:rsidR="007F17AA" w:rsidRDefault="007F17AA"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F17AA" w:rsidRPr="007F17AA" w:rsidRDefault="007F17AA" w:rsidP="007F17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17AA" w:rsidRDefault="007F17AA" w:rsidP="007F17AA">
      <w:pPr>
        <w:tabs>
          <w:tab w:val="left" w:pos="129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17AA" w:rsidRDefault="007F17AA" w:rsidP="007F17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45BDD" w:rsidRPr="007F17AA" w:rsidRDefault="00645BDD" w:rsidP="007F17AA">
      <w:pPr>
        <w:rPr>
          <w:rFonts w:ascii="Times New Roman" w:eastAsia="Times New Roman" w:hAnsi="Times New Roman" w:cs="Times New Roman"/>
          <w:sz w:val="24"/>
          <w:szCs w:val="24"/>
        </w:rPr>
        <w:sectPr w:rsidR="00645BDD" w:rsidRPr="007F17A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923AA" w:rsidRDefault="003923AA" w:rsidP="008C5725">
      <w:pPr>
        <w:rPr>
          <w:rFonts w:ascii="Times New Roman" w:eastAsia="Calibri" w:hAnsi="Times New Roman" w:cs="Times New Roman"/>
          <w:sz w:val="24"/>
          <w:szCs w:val="24"/>
        </w:rPr>
      </w:pPr>
      <w:bookmarkStart w:id="31" w:name="1_0"/>
      <w:bookmarkStart w:id="32" w:name="_Hlk32839505_0"/>
      <w:bookmarkEnd w:id="31"/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Комисија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констатује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страни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наручиоца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146. </w:t>
      </w:r>
      <w:r>
        <w:rPr>
          <w:rFonts w:ascii="Times New Roman" w:eastAsia="Calibri" w:hAnsi="Times New Roman" w:cs="Times New Roman"/>
          <w:sz w:val="24"/>
          <w:szCs w:val="24"/>
        </w:rPr>
        <w:t>ЗЈН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испуњени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услови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доделу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уговора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предлаже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наручиоцу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уговор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јавној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набавци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услуге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оглашавања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штампаном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медију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часопису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српско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енглеско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издање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додели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понуђача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"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Принцип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прес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доо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износу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понуђене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цене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1.000,000,00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без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ПДВ</w:t>
      </w:r>
      <w:r w:rsidRPr="003923AA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одн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1.200,000,00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динара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ПДВ</w:t>
      </w:r>
      <w:r w:rsidRPr="003923A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Pr="003923A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F55F6" w:rsidRPr="003923AA" w:rsidRDefault="003923AA" w:rsidP="008C5725">
      <w:pPr>
        <w:spacing w:before="120" w:after="12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Упутство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о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правом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средству</w:t>
      </w:r>
      <w:r w:rsidRPr="003923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BA" w:eastAsia="lv-LV"/>
        </w:rPr>
        <w:t>:</w:t>
      </w:r>
    </w:p>
    <w:p w:rsidR="001F55F6" w:rsidRPr="003923AA" w:rsidRDefault="003923AA" w:rsidP="008C5725">
      <w:pPr>
        <w:spacing w:before="120" w:after="120"/>
        <w:rPr>
          <w:rFonts w:ascii="Times New Roman" w:eastAsia="Calibri" w:hAnsi="Times New Roman" w:cs="Times New Roman"/>
          <w:sz w:val="24"/>
          <w:szCs w:val="24"/>
          <w:lang w:val="sr-Latn-BA"/>
        </w:rPr>
      </w:pPr>
      <w:bookmarkStart w:id="33" w:name="2_0"/>
      <w:bookmarkEnd w:id="32"/>
      <w:bookmarkEnd w:id="33"/>
      <w:r>
        <w:rPr>
          <w:rFonts w:ascii="Times New Roman" w:eastAsia="Calibri" w:hAnsi="Times New Roman" w:cs="Times New Roman"/>
          <w:sz w:val="24"/>
          <w:szCs w:val="24"/>
          <w:lang w:val="sr-Latn-BA"/>
        </w:rPr>
        <w:t>Против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ове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одлуке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понуђач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може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поднесе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захтев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заштиту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права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року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десет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дана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објављивања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Порталу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јавних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набавки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складу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одредбама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Закона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о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јавним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набавкама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Службени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гласник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број</w:t>
      </w:r>
      <w:r w:rsidRPr="003923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91/19)</w:t>
      </w:r>
    </w:p>
    <w:sectPr w:rsidR="001F55F6" w:rsidRPr="003923AA" w:rsidSect="000A66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09F" w:rsidRDefault="004E309F">
      <w:pPr>
        <w:spacing w:before="0" w:after="0"/>
      </w:pPr>
      <w:r>
        <w:separator/>
      </w:r>
    </w:p>
  </w:endnote>
  <w:endnote w:type="continuationSeparator" w:id="0">
    <w:p w:rsidR="004E309F" w:rsidRDefault="004E30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Pr="005349E8" w:rsidRDefault="003923A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FA679" wp14:editId="73223676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8E7904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Pr="005349E8" w:rsidRDefault="003923AA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09F" w:rsidRDefault="004E309F">
      <w:pPr>
        <w:spacing w:before="0" w:after="0"/>
      </w:pPr>
      <w:r>
        <w:separator/>
      </w:r>
    </w:p>
  </w:footnote>
  <w:footnote w:type="continuationSeparator" w:id="0">
    <w:p w:rsidR="004E309F" w:rsidRDefault="004E30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AA" w:rsidRDefault="003923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923AA"/>
    <w:rsid w:val="003C5448"/>
    <w:rsid w:val="003F4A2A"/>
    <w:rsid w:val="00430FB5"/>
    <w:rsid w:val="00471857"/>
    <w:rsid w:val="004C29F7"/>
    <w:rsid w:val="004D3A78"/>
    <w:rsid w:val="004E309F"/>
    <w:rsid w:val="005349E8"/>
    <w:rsid w:val="00544D4B"/>
    <w:rsid w:val="0059265A"/>
    <w:rsid w:val="005B6EAC"/>
    <w:rsid w:val="005F01C2"/>
    <w:rsid w:val="006335EC"/>
    <w:rsid w:val="00645BDD"/>
    <w:rsid w:val="00666AE4"/>
    <w:rsid w:val="006A4384"/>
    <w:rsid w:val="006C28AA"/>
    <w:rsid w:val="006C6D30"/>
    <w:rsid w:val="00723884"/>
    <w:rsid w:val="007500EB"/>
    <w:rsid w:val="007552D8"/>
    <w:rsid w:val="007B33EC"/>
    <w:rsid w:val="007F17AA"/>
    <w:rsid w:val="008C5725"/>
    <w:rsid w:val="008E7904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BE3B9E"/>
    <w:rsid w:val="00C3138D"/>
    <w:rsid w:val="00C32F8B"/>
    <w:rsid w:val="00C4780E"/>
    <w:rsid w:val="00CB2A20"/>
    <w:rsid w:val="00CB35CB"/>
    <w:rsid w:val="00D1225B"/>
    <w:rsid w:val="00D1691F"/>
    <w:rsid w:val="00D25CF6"/>
    <w:rsid w:val="00D4767B"/>
    <w:rsid w:val="00D833F3"/>
    <w:rsid w:val="00DE52D6"/>
    <w:rsid w:val="00DF4791"/>
    <w:rsid w:val="00E22A9B"/>
    <w:rsid w:val="00EA7586"/>
    <w:rsid w:val="00F24FBF"/>
    <w:rsid w:val="00F61EC9"/>
    <w:rsid w:val="00F9120D"/>
    <w:rsid w:val="00FA1F7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Ruzica Mitrovic</cp:lastModifiedBy>
  <cp:revision>18</cp:revision>
  <cp:lastPrinted>2022-04-14T13:00:00Z</cp:lastPrinted>
  <dcterms:created xsi:type="dcterms:W3CDTF">2020-02-17T13:03:00Z</dcterms:created>
  <dcterms:modified xsi:type="dcterms:W3CDTF">2022-04-26T13:23:00Z</dcterms:modified>
</cp:coreProperties>
</file>