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Opštinska uprava opštine Vrnjačka Banja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100917981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Kruševačka 17</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Vrnjačka Banja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18.02.2022</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400-259/22</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Opštinska uprava opštine Vrnjačka Banja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400-259/22</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Usluga ličnog pratioca deteta</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2022/S F02-0002248</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85312120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Usluga ličnog pratioca deteta</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8.416.980,00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ALEKSANDRA JOVIČIĆ PR AGENCIJA ZA PRUŽANJE USLUGA SOCIJALNE ZAŠTITE BEZ SMEŠTAJA NIVEUS TIM GORNJI MILANOVAC</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109570180</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Kneza Aleksandra Karađorđevića, 36</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Gornji Milanovac</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32300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8.225.140,00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8.225.140,00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Usluga ličnog pratioca deteta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400-259/22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400-259/22, 01.02.2022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8.416.980,00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85312120-Dnevne usluge u zajednici za osobe sa invaliditetom i mlade osobe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Predmet javne nabavke je izbor pružaoca usluga socijalne zaštite– usluga lični pratilac deteta sa invaliditetom odnosno sa smetnjama u razvoju,  sa područja opštine Vrnjačka Banja.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Nije primenljivo u odnosu na predmet javne nabavke.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2022/S F02-0002248</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03.02.2022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14.02.2022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Suzana Crnoglavac</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Ivana Jovanović, dipl.pravnik,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Ružica Mitrović, dipl.ek.,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Vladimir Stamenčić, dipl.ek.,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Danijela Janjić, dipl.ek.,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Gordana Radičević, dipl.inž.za razvoj maš.struke, zamenik člana</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Usluga ličnog pratioca deteta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14.02.2022 12:10:00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14.02.2022 12:10:13</w:t>
                  </w:r>
                </w:p>
              </w:tc>
            </w:tr>
            <w:tr>
              <w:tblPrEx>
                <w:tblInd w:w="39" w:type="dxa"/>
                <w:tblCellMar>
                  <w:left w:w="0" w:type="dxa"/>
                  <w:right w:w="0" w:type="dxa"/>
                </w:tblCellMar>
                <w:tblLook w:val="0000"/>
              </w:tblPrEx>
              <w:trPr>
                <w:trHeight w:val="4462"/>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ALEKSANDRA JOVIČIĆ PR AGENCIJA ZA PRUŽANJE USLUGA SOCIJALNE ZAŠTITE BEZ SMEŠTAJA NIVEUS TIM GORNJI MILANOVAC, Kneza Aleksandra Karađorđevića, 36, 32300, Gornji Milanovac,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481/2022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11.2.2022. 14:40:37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14.2.2022. 10:20:00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serijskog broja AD 2292213 sa meničnim ovlašćenjem i pratećom dokumentacijom</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CENTAR ZA DEFEKTOLOGIJU ARTEMIDA STANKOVIĆ MARINA PR NIŠ, Takovska, 4A, 18000, Niš,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08/2022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12.2.2022. 23:29:18</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11.2.2022. 10:40:00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serijskog broja AB 6346898 sa meničnim ovlašćenjem ( na iznos od 3%  verdnossti ponude bez PDV-a) i pratećom dokumetacijom.</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14.2.2022. 08:12:00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Dopuna /izmena - izmenjeno menično ovlašćenje za menicu serijkog broja AB 6346898 na iznos od  3% vrednosti ponude bez PDV-a, odnosno 251.718.06 RSD.</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ALEKSANDRA JOVIČIĆ PR AGENCIJA ZA PRUŽANJE USLUGA SOCIJALNE ZAŠTITE BEZ SMEŠTAJA NIVEUS TIM GORNJI MILANOVAC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8225140.00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8225140.00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CENTAR ZA DEFEKTOLOGIJU ARTEMIDA STANKOVIĆ MARINA PR NIŠ</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8390602.00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8390602.00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Fakturu sa pratećom dokumentacijom za izvršenu uslugu Pružalac usluge dostavlja do 5.og u mesecu za prethodni mesec. Plaćanja po ovoj fakturi treba izvršiti najkasnije do 20.og u mesecu za prethosni mesec uplatom na tekući račun Pružaoca usluge naznačenog na fakturi.</w:t>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270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ALEKSANDRA JOVIČIĆ PR AGENCIJA ZA PRUŽANJE USLUGA SOCIJALNE ZAŠTITE BEZ SMEŠTAJA NIVEUS TIM GORNJI MILANOVAC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8225140.00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8225140.00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120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CENTAR ZA DEFEKTOLOGIJU ARTEMIDA STANKOVIĆ MARINA PR NIŠ</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8390602.00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8390602.00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Fakturu sa pratećom dokumentacijom za izvršenu uslugu Pružalac usluge dostavlja do 5.og u mesecu za prethodni mesec. Plaćanja po ovoj fakturi treba izvršiti najkasnije do 20.og u mesecu za prethosni mesec uplatom na tekući račun Pružaoca usluge naznačenog na fakturi.</w:t>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270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ALEKSANDRA JOVIČIĆ PR AGENCIJA ZA PRUŽANJE USLUGA SOCIJALNE ZAŠTITE BEZ SMEŠTAJA NIVEUS TIM GORNJI MILANOVAC</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8.225.140,00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8.225.140,00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 fazi stručne ocene ponuda Komisija  za javnu nabavku je uvidom u javno dostupne podatke utvrdila da je ponuđač  Aleksandra Jovičić PR Agencija za pružanje usluga socijalne zašite bez smeštaja " Niveus tim", Gornji Milanovac  registrovan u Registru ponuđača te da nema osnova za isključenje privrednog subjekata iz postupka javne nabavke po osnovu  čl. 144. stav 1. tačka 1)ZJN.</w:t>
                                <w:br/>
                                <w:t>Takođe, Komisija konstatuje da je ponuđač dostavio traženu dokumentaciju i izjave u skladu sa uslovima definisanim konkursnom dokumentacijom.</w:t>
                                <w:br/>
                                <w:t>Dalje, u fazi  stručne ocene ponude, Komisija dana 18.02.2022.godine, a  u skladu sa čl. 119. stav 1. ZJN,  ponuđaču koji je dostavio ekonomski najpovoljniju ponudu, preko Portala javnih nabavki, uputila Zahtev za dostavljanje dokaza o ispunjnosti kriterijuma za kvalitativni izbor privrednog subjekta.</w:t>
                                <w:br/>
                                <w:t>U ostavljenom roku, dana 18.02.2022.godine, ponuđač je elektronskim putem preko Portala javnih nabavki, dostavio sve zahtevane dokaze, čime je dokazao ispunjenost kriterijuma za kvalitativni izbor privrednog  subjekta.</w:t>
                                <w:br/>
                                <w:t xml:space="preserve">Nakon pregleda ponude i ocene svih relevantnih dokaza, Komisija je ponudu  ponuđača ocenila kao prihvatljivu, jer je utvrdila da ne postoje osnovi za isključenje privrenog subjekta, da su ispunjeni kriterijumi za kvalitativni izbor privrednog subjekta,i u skladu sa čl. 146. Zakona predlaže naručiocu da ugovor o javnoj nabavci usluge lični pratilac , dodeli ponuđaču   Aleksandri Jovičić PR Agencija za pružanje usluga socijalne zašite bez smeštaja " Niveus tim", Gornji Milanovac u  iznosu ponuđene cene od  8.225.140,00 dinara bez PDV-a, odnosno 8.225.140,00 dinara sa PDV-om. </w:t>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CENTAR ZA DEFEKTOLOGIJU ARTEMIDA STANKOVIĆ MARINA PR NIŠ</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8.390.602,00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8.390.602,00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45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ALEKSANDRA JOVIČIĆ PR AGENCIJA ZA PRUŽANJE USLUGA SOCIJALNE ZAŠTITE BEZ SMEŠTAJA NIVEUS TIM GORNJI MILANOVAC</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8.225.140,00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CENTAR ZA DEFEKTOLOGIJU ARTEMIDA STANKOVIĆ MARINA PR NIŠ</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8.390.602,00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Nakon pregleda ponude i ocene svih relevantnih dokaza, Komisija je ponudu ponuđača Aleksandra Jovičić PR Agencija za pružanje usluga socijalne zaštite bez smeštaja " Niveus tim" Gornji Milanovac, ocenila kao prihvatljivu, jer je utvrdila da ne postoje osnovi za isključenje privrenog subjekta, da su ispunjeni kriterijumi za kvalitativni izbor privrednog subjekta,i u skladu sa čl. 146. Zakona predlaže naručiocu da ugovor o javnoj nabavci usluge lični pšratila dodeli ponuđaču Aleksandra Jovičić PR Agencija za pružanje usluga socijalne zaštite bez smeštaja " Niveus tim" Gornji Milanovac  iznosu ponuđene cene od   8.225.140,00 dinara bez PDV-a, odnosno 8.225.140,00 dinara sa PDV-om. </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rPr>
      </w:pPr>
      <w:bookmarkStart w:id="31" w:name="_Hlk32839505_0"/>
      <w:bookmarkStart w:id="32" w:name="1_0"/>
      <w:bookmarkEnd w:id="32"/>
      <w:r>
        <w:rPr>
          <w:rFonts w:ascii="Calibri" w:eastAsia="Calibri" w:hAnsi="Calibri" w:cs="Calibri"/>
        </w:rPr>
        <w:t xml:space="preserve">Nakon pregleda ponude i ocene svih relevantnih dokaza, Komisija je ponudu ponuđača Aleksandra Jovičić PR Agencija za pružanje usluga socijalne zaštite bez smeštaja " Niveus tim" Gornji Milanovac, ocenila kao prihvatljivu, jer je utvrdila da ne postoje osnovi za isključenje privrenog subjekta, da su ispunjeni kriterijumi za kvalitativni izbor privrednog subjekta,i u skladu sa čl. 146. Zakona predlaže naručiocu da ugovor o javnoj nabavci usluge lični pšratila dodeli ponuđaču Aleksandra Jovičić PR Agencija za pružanje usluga socijalne zaštite bez smeštaja " Niveus tim" Gornji Milanovac  iznosu ponuđene cene od   8.225.140,00 dinara bez PDV-a, odnosno 8.225.140,00 dinara sa PDV-om. </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odluke naručioca kojom se okončava postupak javne nabavke,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