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5" w:rsidRPr="008F3598" w:rsidRDefault="00724B82" w:rsidP="00FE52E1">
      <w:pPr>
        <w:jc w:val="both"/>
        <w:rPr>
          <w:lang/>
        </w:rPr>
      </w:pPr>
      <w:proofErr w:type="gramStart"/>
      <w:r w:rsidRPr="00724B82">
        <w:t>На основу члана 46.</w:t>
      </w:r>
      <w:proofErr w:type="gramEnd"/>
      <w:r w:rsidRPr="00724B82">
        <w:t xml:space="preserve"> </w:t>
      </w:r>
      <w:proofErr w:type="gramStart"/>
      <w:r w:rsidRPr="00724B82">
        <w:t>Закона о локалној самоуправи („Службени гласник РС“, број 129/2007, 83/2014 - др. закон, 101/2016 – др. закон и 47/2018), члана 38.</w:t>
      </w:r>
      <w:proofErr w:type="gramEnd"/>
      <w:r w:rsidRPr="00724B82">
        <w:t xml:space="preserve"> </w:t>
      </w:r>
      <w:proofErr w:type="gramStart"/>
      <w:r w:rsidRPr="00724B82">
        <w:t>Закона о удружењима („Службени гласник РС“, број 51/2009, 99/2011 - др. закон и 44/2018 – др. закон),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</w:t>
      </w:r>
      <w:r w:rsidR="003B5BB1">
        <w:t>ик РС“, број 16/2018) и члана 55.</w:t>
      </w:r>
      <w:proofErr w:type="gramEnd"/>
      <w:r w:rsidR="003B5BB1">
        <w:t xml:space="preserve"> </w:t>
      </w:r>
      <w:proofErr w:type="gramStart"/>
      <w:r w:rsidR="003B5BB1">
        <w:t>Статута општине Врњачка Бања</w:t>
      </w:r>
      <w:r w:rsidRPr="00724B82">
        <w:t>, („</w:t>
      </w:r>
      <w:r w:rsidR="003B5BB1" w:rsidRPr="003B5BB1">
        <w:t>Сл.лист оп</w:t>
      </w:r>
      <w:r w:rsidR="003B5BB1">
        <w:t>штине Врњачка Бања'', број 12/1</w:t>
      </w:r>
      <w:r>
        <w:t>9), члана 14.</w:t>
      </w:r>
      <w:proofErr w:type="gramEnd"/>
      <w:r>
        <w:t xml:space="preserve"> ставови 6 и 7 </w:t>
      </w:r>
      <w:r w:rsidRPr="00724B82">
        <w:t xml:space="preserve"> </w:t>
      </w:r>
      <w:r>
        <w:t xml:space="preserve">Одлуке о поступку доделе и контроле коришћења средстава за подстицање програма или недостајућег дела средстава за финансирање и суфинансирање програма од јавног интереса које реализују удружења (''Сл.лист општине Врњачка Бања'', број 42/19), </w:t>
      </w:r>
      <w:r w:rsidR="003B5BB1">
        <w:t xml:space="preserve">а </w:t>
      </w:r>
      <w:r>
        <w:t xml:space="preserve">на основу Листе вредновања и рангирања пријављених програма поднетих на Конкурсу за финансирање и суфинансирање програма и пројеката од јавног интереса а које реализују удружења- тематска област </w:t>
      </w:r>
      <w:r w:rsidR="0007588F">
        <w:t>2</w:t>
      </w:r>
      <w:r>
        <w:t xml:space="preserve">, коју је Конкурсна комисија донела на </w:t>
      </w:r>
      <w:r w:rsidR="000D16A2">
        <w:t>својој седници од 1</w:t>
      </w:r>
      <w:r>
        <w:t>2.</w:t>
      </w:r>
      <w:r w:rsidR="000D16A2">
        <w:t>04</w:t>
      </w:r>
      <w:r>
        <w:t>.202</w:t>
      </w:r>
      <w:r w:rsidR="000D16A2">
        <w:t>1</w:t>
      </w:r>
      <w:r>
        <w:t xml:space="preserve"> </w:t>
      </w:r>
      <w:r w:rsidRPr="00724B82">
        <w:t>Председник општине доноси:</w:t>
      </w:r>
    </w:p>
    <w:p w:rsidR="003B5BB1" w:rsidRPr="00C669BB" w:rsidRDefault="003B5BB1" w:rsidP="003B5BB1">
      <w:pPr>
        <w:jc w:val="center"/>
        <w:rPr>
          <w:b/>
        </w:rPr>
      </w:pPr>
      <w:r w:rsidRPr="00C669BB">
        <w:rPr>
          <w:b/>
        </w:rPr>
        <w:t>РЕШЕЊЕ</w:t>
      </w:r>
    </w:p>
    <w:p w:rsidR="00163105" w:rsidRPr="008F3598" w:rsidRDefault="003B5BB1" w:rsidP="008F3598">
      <w:pPr>
        <w:jc w:val="center"/>
        <w:rPr>
          <w:b/>
          <w:lang/>
        </w:rPr>
      </w:pPr>
      <w:proofErr w:type="gramStart"/>
      <w:r w:rsidRPr="00C669BB">
        <w:rPr>
          <w:b/>
        </w:rPr>
        <w:t>О ФИНАНСИРАЊУ ПРОГРАМА, ОДНОСНО ПРОЈЕКАТА ИЗ БУЏЕТА ОПШТИНЕ ВРЊАЧКА БАЊА У 202</w:t>
      </w:r>
      <w:r w:rsidR="000D16A2">
        <w:rPr>
          <w:b/>
        </w:rPr>
        <w:t>1</w:t>
      </w:r>
      <w:r w:rsidRPr="00C669BB">
        <w:rPr>
          <w:b/>
        </w:rPr>
        <w:t>.</w:t>
      </w:r>
      <w:proofErr w:type="gramEnd"/>
    </w:p>
    <w:p w:rsidR="002A317F" w:rsidRDefault="002A317F" w:rsidP="002A317F">
      <w:pPr>
        <w:jc w:val="center"/>
      </w:pPr>
      <w:proofErr w:type="gramStart"/>
      <w:r>
        <w:t>Члан 1.</w:t>
      </w:r>
      <w:proofErr w:type="gramEnd"/>
    </w:p>
    <w:p w:rsidR="002A317F" w:rsidRDefault="003B2548" w:rsidP="002A317F">
      <w:pPr>
        <w:jc w:val="both"/>
      </w:pPr>
      <w:proofErr w:type="gramStart"/>
      <w:r>
        <w:t xml:space="preserve">Овим Решењем </w:t>
      </w:r>
      <w:r w:rsidR="002A317F">
        <w:t>утврђују се пројекти удружења који ће се финансирати из буџета општине Врњачка Бања у 202</w:t>
      </w:r>
      <w:r w:rsidR="000D16A2">
        <w:t>1</w:t>
      </w:r>
      <w:r w:rsidR="002A317F">
        <w:t>.</w:t>
      </w:r>
      <w:proofErr w:type="gramEnd"/>
      <w:r w:rsidR="002A317F">
        <w:t xml:space="preserve"> </w:t>
      </w:r>
      <w:proofErr w:type="gramStart"/>
      <w:r w:rsidR="000D16A2">
        <w:t>Г</w:t>
      </w:r>
      <w:r w:rsidR="002A317F">
        <w:t>одини</w:t>
      </w:r>
      <w:r w:rsidR="000D16A2">
        <w:t xml:space="preserve"> за тематску облас</w:t>
      </w:r>
      <w:r w:rsidR="00C3129B">
        <w:t>т</w:t>
      </w:r>
      <w:r w:rsidR="000D16A2">
        <w:t xml:space="preserve"> </w:t>
      </w:r>
      <w:r w:rsidR="0007588F">
        <w:t>2</w:t>
      </w:r>
      <w:r w:rsidR="002A317F">
        <w:t>, по спроведеном конкурсу о</w:t>
      </w:r>
      <w:r w:rsidR="009952F3">
        <w:t xml:space="preserve">д </w:t>
      </w:r>
      <w:r w:rsidR="000D16A2">
        <w:t>28</w:t>
      </w:r>
      <w:r w:rsidR="002A317F">
        <w:t>.0</w:t>
      </w:r>
      <w:r w:rsidR="000D16A2">
        <w:t>1</w:t>
      </w:r>
      <w:r w:rsidR="002A317F">
        <w:t>.202</w:t>
      </w:r>
      <w:r w:rsidR="000D16A2">
        <w:t>1</w:t>
      </w:r>
      <w:r w:rsidR="002A317F">
        <w:t>.</w:t>
      </w:r>
      <w:proofErr w:type="gramEnd"/>
      <w:r w:rsidR="002A317F">
        <w:t xml:space="preserve"> </w:t>
      </w:r>
      <w:proofErr w:type="gramStart"/>
      <w:r w:rsidR="002A317F">
        <w:t>године</w:t>
      </w:r>
      <w:proofErr w:type="gramEnd"/>
      <w:r w:rsidR="002A317F">
        <w:t xml:space="preserve"> </w:t>
      </w:r>
    </w:p>
    <w:p w:rsidR="002A317F" w:rsidRDefault="002A317F" w:rsidP="002A317F">
      <w:pPr>
        <w:jc w:val="both"/>
      </w:pPr>
      <w:r>
        <w:t xml:space="preserve">ОДОБРАВАЈУ </w:t>
      </w:r>
      <w:proofErr w:type="gramStart"/>
      <w:r>
        <w:t>СЕ  средства</w:t>
      </w:r>
      <w:proofErr w:type="gramEnd"/>
      <w:r>
        <w:t xml:space="preserve"> из буџета општине Врњачка Бања по спроведеном јавном конкурсу за избор пројеката који се финансирају или суфинансирају средствима из буџета општине Врњачка Бања за 202</w:t>
      </w:r>
      <w:r w:rsidR="000D16A2">
        <w:t>1</w:t>
      </w:r>
      <w:r>
        <w:t xml:space="preserve">. </w:t>
      </w:r>
      <w:proofErr w:type="gramStart"/>
      <w:r w:rsidR="00EE1AAE">
        <w:t>г</w:t>
      </w:r>
      <w:r>
        <w:t>одину</w:t>
      </w:r>
      <w:proofErr w:type="gramEnd"/>
      <w:r w:rsidR="00EE1AAE">
        <w:t xml:space="preserve"> за области од јавног интереса </w:t>
      </w:r>
      <w:r>
        <w:t xml:space="preserve">. </w:t>
      </w:r>
    </w:p>
    <w:p w:rsidR="002A317F" w:rsidRDefault="002A317F" w:rsidP="002A317F">
      <w:pPr>
        <w:jc w:val="center"/>
      </w:pPr>
      <w:proofErr w:type="gramStart"/>
      <w:r>
        <w:t>Члан 2.</w:t>
      </w:r>
      <w:proofErr w:type="gramEnd"/>
    </w:p>
    <w:p w:rsidR="00163105" w:rsidRPr="008F3598" w:rsidRDefault="002A317F" w:rsidP="002A317F">
      <w:pPr>
        <w:jc w:val="both"/>
        <w:rPr>
          <w:lang/>
        </w:rPr>
      </w:pPr>
      <w:proofErr w:type="gramStart"/>
      <w:r>
        <w:t xml:space="preserve">Комисија за спровођење јавног конкурса за финансирање пројеката удружења грађана, на седници одржаној дана, </w:t>
      </w:r>
      <w:r w:rsidR="000D16A2">
        <w:t>12.04</w:t>
      </w:r>
      <w:r>
        <w:t>.202</w:t>
      </w:r>
      <w:r w:rsidR="000D16A2">
        <w:t>1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, утврдила је </w:t>
      </w:r>
      <w:r w:rsidR="00EE1AAE">
        <w:t>Л</w:t>
      </w:r>
      <w:r>
        <w:t xml:space="preserve">исту </w:t>
      </w:r>
      <w:r w:rsidRPr="002A317F">
        <w:t>вредновања и рангирања пријављени</w:t>
      </w:r>
      <w:r>
        <w:t>х програма поднетих на Конкурс</w:t>
      </w:r>
      <w:r w:rsidR="000D16A2">
        <w:t xml:space="preserve"> – тематска област </w:t>
      </w:r>
      <w:r w:rsidR="0007588F">
        <w:t>2</w:t>
      </w:r>
      <w:r>
        <w:t>, и то:</w:t>
      </w:r>
    </w:p>
    <w:tbl>
      <w:tblPr>
        <w:tblStyle w:val="TableGrid"/>
        <w:tblW w:w="0" w:type="auto"/>
        <w:tblLook w:val="04A0"/>
      </w:tblPr>
      <w:tblGrid>
        <w:gridCol w:w="1124"/>
        <w:gridCol w:w="13"/>
        <w:gridCol w:w="1873"/>
        <w:gridCol w:w="38"/>
        <w:gridCol w:w="1422"/>
        <w:gridCol w:w="53"/>
        <w:gridCol w:w="2010"/>
        <w:gridCol w:w="37"/>
        <w:gridCol w:w="2001"/>
        <w:gridCol w:w="1005"/>
      </w:tblGrid>
      <w:tr w:rsidR="00243521" w:rsidTr="0007588F">
        <w:tc>
          <w:tcPr>
            <w:tcW w:w="1135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Вредност програма</w:t>
            </w:r>
            <w:r w:rsidR="00C533DB">
              <w:t xml:space="preserve">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Број бодова</w:t>
            </w:r>
          </w:p>
        </w:tc>
      </w:tr>
      <w:tr w:rsidR="00243521" w:rsidTr="008F3598">
        <w:trPr>
          <w:trHeight w:val="1645"/>
        </w:trPr>
        <w:tc>
          <w:tcPr>
            <w:tcW w:w="1135" w:type="dxa"/>
            <w:shd w:val="clear" w:color="auto" w:fill="FDE9D9" w:themeFill="accent6" w:themeFillTint="33"/>
          </w:tcPr>
          <w:p w:rsidR="002A317F" w:rsidRDefault="002A317F" w:rsidP="00612BEF">
            <w:pPr>
              <w:jc w:val="center"/>
            </w:pPr>
            <w:r>
              <w:t>1</w:t>
            </w:r>
            <w:r w:rsidR="00C533DB">
              <w:t>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0D16A2" w:rsidP="0007588F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588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Default="0007588F" w:rsidP="0007588F">
            <w:pPr>
              <w:jc w:val="center"/>
            </w:pPr>
            <w:r>
              <w:t>Гочки круг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Default="0007588F" w:rsidP="00612BEF">
            <w:pPr>
              <w:jc w:val="center"/>
            </w:pPr>
            <w:r>
              <w:rPr>
                <w:rFonts w:ascii="Times New Roman" w:hAnsi="Times New Roman" w:cs="Times New Roman"/>
              </w:rPr>
              <w:t>Квалитет воде  акумулације „Селиште“ у светлу оцене коегзистенције туристичко рекреативних садржаја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07588F" w:rsidP="0007588F">
            <w:pPr>
              <w:jc w:val="center"/>
            </w:pPr>
            <w:r>
              <w:t>300</w:t>
            </w:r>
            <w:r w:rsidR="002A317F">
              <w:t>.</w:t>
            </w:r>
            <w:r w:rsidR="000D16A2"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07588F" w:rsidRDefault="0007588F" w:rsidP="00612BEF">
            <w:pPr>
              <w:jc w:val="center"/>
            </w:pPr>
            <w:r>
              <w:t>95</w:t>
            </w:r>
          </w:p>
        </w:tc>
      </w:tr>
      <w:tr w:rsidR="002A317F" w:rsidRPr="00163105" w:rsidTr="00B22AB0">
        <w:tc>
          <w:tcPr>
            <w:tcW w:w="9576" w:type="dxa"/>
            <w:gridSpan w:val="10"/>
          </w:tcPr>
          <w:p w:rsidR="00564688" w:rsidRPr="00163105" w:rsidRDefault="002A317F" w:rsidP="00B22AB0">
            <w:pPr>
              <w:jc w:val="both"/>
            </w:pPr>
            <w:r w:rsidRPr="00163105">
              <w:t xml:space="preserve"> Образложење</w:t>
            </w:r>
            <w:r w:rsidR="001F431A" w:rsidRPr="00163105">
              <w:t xml:space="preserve"> </w:t>
            </w:r>
            <w:r w:rsidR="00C533DB" w:rsidRPr="00163105">
              <w:t>:</w:t>
            </w:r>
          </w:p>
          <w:p w:rsidR="00FE52E1" w:rsidRPr="00163105" w:rsidRDefault="001F431A" w:rsidP="00B67984">
            <w:pPr>
              <w:jc w:val="both"/>
            </w:pPr>
            <w:r w:rsidRPr="00163105">
              <w:t xml:space="preserve"> </w:t>
            </w:r>
            <w:r w:rsidR="001A4F89" w:rsidRPr="00163105">
              <w:t xml:space="preserve">Програм је усаглашен са општим интересом у области </w:t>
            </w:r>
            <w:r w:rsidR="00B67984">
              <w:rPr>
                <w:lang/>
              </w:rPr>
              <w:t xml:space="preserve">заштите животне </w:t>
            </w:r>
            <w:proofErr w:type="gramStart"/>
            <w:r w:rsidR="00B67984">
              <w:rPr>
                <w:lang/>
              </w:rPr>
              <w:t>средине</w:t>
            </w:r>
            <w:r w:rsidR="00D4241B">
              <w:t xml:space="preserve"> </w:t>
            </w:r>
            <w:r w:rsidR="001A4F89" w:rsidRPr="00163105">
              <w:t>.</w:t>
            </w:r>
            <w:proofErr w:type="gramEnd"/>
            <w:r w:rsidR="001A4F89" w:rsidRPr="00163105">
              <w:t xml:space="preserve"> Јасно је </w:t>
            </w:r>
            <w:r w:rsidR="001A4F89" w:rsidRPr="00163105">
              <w:lastRenderedPageBreak/>
              <w:t>изложена идеја са реалистичним буџетом који је у складу са активностима и очекиваним резултатима конкурса.</w:t>
            </w:r>
            <w:r w:rsidR="00B67984">
              <w:rPr>
                <w:lang/>
              </w:rPr>
              <w:t>Активностзи су усмерене на задовољење потреба већег броја грађана и грађанки. Активности  обезбеђују висок ниво видљивости  рада на пројекту и резултатима пројекта.</w:t>
            </w:r>
            <w:r w:rsidR="001A4F89" w:rsidRPr="00163105">
              <w:t xml:space="preserve"> </w:t>
            </w:r>
          </w:p>
        </w:tc>
      </w:tr>
      <w:tr w:rsidR="00243521" w:rsidTr="0007588F">
        <w:tc>
          <w:tcPr>
            <w:tcW w:w="1135" w:type="dxa"/>
            <w:shd w:val="clear" w:color="auto" w:fill="FDE9D9" w:themeFill="accent6" w:themeFillTint="33"/>
          </w:tcPr>
          <w:p w:rsidR="002A317F" w:rsidRDefault="00C533DB" w:rsidP="00215CBB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1A4F89" w:rsidP="00243521">
            <w:pPr>
              <w:jc w:val="both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52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Pr="001A4F89" w:rsidRDefault="00243521" w:rsidP="00243521">
            <w:pPr>
              <w:jc w:val="both"/>
            </w:pPr>
            <w:r>
              <w:t>Иновативни центар за развој друштва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Pr="00243521" w:rsidRDefault="00243521" w:rsidP="002A317F">
            <w:pPr>
              <w:jc w:val="both"/>
            </w:pPr>
            <w:r>
              <w:t>Врњачка Бања –обнови енергију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243521" w:rsidP="001A4F89">
            <w:pPr>
              <w:jc w:val="center"/>
            </w:pPr>
            <w:r>
              <w:t>300</w:t>
            </w:r>
            <w:r w:rsidR="00C533DB">
              <w:t>.</w:t>
            </w:r>
            <w:r w:rsidR="001A4F89"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243521" w:rsidRDefault="00243521" w:rsidP="001A4F89">
            <w:pPr>
              <w:jc w:val="center"/>
            </w:pPr>
            <w:r>
              <w:t>95</w:t>
            </w:r>
          </w:p>
        </w:tc>
      </w:tr>
      <w:tr w:rsidR="002A317F" w:rsidTr="00B22AB0">
        <w:tc>
          <w:tcPr>
            <w:tcW w:w="9576" w:type="dxa"/>
            <w:gridSpan w:val="10"/>
          </w:tcPr>
          <w:p w:rsidR="00564688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B67984" w:rsidRDefault="0007686E" w:rsidP="0007686E">
            <w:pPr>
              <w:jc w:val="both"/>
              <w:rPr>
                <w:lang/>
              </w:rPr>
            </w:pPr>
            <w:r w:rsidRPr="00163105">
              <w:t xml:space="preserve">Програм је усаглашен са општим интересом у области </w:t>
            </w:r>
            <w:r>
              <w:rPr>
                <w:lang/>
              </w:rPr>
              <w:t xml:space="preserve">заштите животне </w:t>
            </w:r>
            <w:proofErr w:type="gramStart"/>
            <w:r>
              <w:rPr>
                <w:lang/>
              </w:rPr>
              <w:t>средине</w:t>
            </w:r>
            <w:r w:rsidRPr="00163105">
              <w:t xml:space="preserve"> ..</w:t>
            </w:r>
            <w:proofErr w:type="gramEnd"/>
            <w:r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>
              <w:rPr>
                <w:lang/>
              </w:rPr>
              <w:t xml:space="preserve"> </w:t>
            </w:r>
            <w:r w:rsidR="00B67984" w:rsidRPr="00163105">
              <w:t xml:space="preserve">Удружење поседује све потребне људске ресурсе за испуњење програма.  </w:t>
            </w:r>
            <w:r>
              <w:rPr>
                <w:lang/>
              </w:rPr>
              <w:t>Пројекат активно укључује грађане и грађанке на реализацији пројектних активности . Активности обезбеђују висок ниво видљивости на ројекту .</w:t>
            </w:r>
            <w:r w:rsidR="00B67984">
              <w:rPr>
                <w:lang/>
              </w:rPr>
              <w:t>Постоји јасна веза између постављених циљева , пројектних активности  и очекиваних резултата.</w:t>
            </w:r>
          </w:p>
        </w:tc>
      </w:tr>
      <w:tr w:rsidR="00243521" w:rsidTr="0007588F">
        <w:tc>
          <w:tcPr>
            <w:tcW w:w="1135" w:type="dxa"/>
            <w:shd w:val="clear" w:color="auto" w:fill="FDE9D9" w:themeFill="accent6" w:themeFillTint="33"/>
          </w:tcPr>
          <w:p w:rsidR="002A317F" w:rsidRDefault="00C533DB" w:rsidP="00612BEF">
            <w:pPr>
              <w:jc w:val="center"/>
            </w:pPr>
            <w:r>
              <w:t>3.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D97640" w:rsidP="00243521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5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Default="00243521" w:rsidP="00243521">
            <w:pPr>
              <w:jc w:val="center"/>
            </w:pPr>
            <w:r>
              <w:t>МОСТ ВБ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Pr="00243521" w:rsidRDefault="00243521" w:rsidP="00612BE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Карневалски радио –пакет аранжман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243521" w:rsidP="00D97640">
            <w:pPr>
              <w:jc w:val="center"/>
            </w:pPr>
            <w:r>
              <w:t>300</w:t>
            </w:r>
            <w:r w:rsidR="00D97640">
              <w:t>.0</w:t>
            </w:r>
            <w:r w:rsidR="00C533DB">
              <w:t>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D97640" w:rsidRDefault="00243521" w:rsidP="00612BEF">
            <w:pPr>
              <w:jc w:val="center"/>
            </w:pPr>
            <w:r>
              <w:t>8</w:t>
            </w:r>
            <w:r w:rsidR="00D97640">
              <w:t>5</w:t>
            </w:r>
          </w:p>
        </w:tc>
      </w:tr>
      <w:tr w:rsidR="002A317F" w:rsidTr="00C533DB">
        <w:trPr>
          <w:trHeight w:val="1142"/>
        </w:trPr>
        <w:tc>
          <w:tcPr>
            <w:tcW w:w="9576" w:type="dxa"/>
            <w:gridSpan w:val="10"/>
          </w:tcPr>
          <w:p w:rsidR="002A317F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09062F" w:rsidRDefault="00D97640" w:rsidP="0007686E">
            <w:pPr>
              <w:jc w:val="both"/>
            </w:pPr>
            <w:r w:rsidRPr="00163105">
              <w:t xml:space="preserve">Програм је усаглашен са општим интересом у области </w:t>
            </w:r>
            <w:r w:rsidR="0007686E">
              <w:rPr>
                <w:lang/>
              </w:rPr>
              <w:t xml:space="preserve">развоја </w:t>
            </w:r>
            <w:proofErr w:type="gramStart"/>
            <w:r w:rsidR="0007686E">
              <w:rPr>
                <w:lang/>
              </w:rPr>
              <w:t>туризма .</w:t>
            </w:r>
            <w:proofErr w:type="gramEnd"/>
            <w:r w:rsidR="0007686E">
              <w:rPr>
                <w:lang/>
              </w:rPr>
              <w:t xml:space="preserve"> Пројекат активно укључује грађане и грађанке на реализацији пројектних активности . Активности обезбеђују висок ниво видљивости на ројекту .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243521" w:rsidTr="0007588F">
        <w:tc>
          <w:tcPr>
            <w:tcW w:w="1135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243521" w:rsidTr="0007588F">
        <w:tc>
          <w:tcPr>
            <w:tcW w:w="1135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4.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EC171B" w:rsidRDefault="00EC171B" w:rsidP="00243521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 w:rsidR="00243521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EC171B" w:rsidRDefault="00EC171B" w:rsidP="00243521">
            <w:pPr>
              <w:jc w:val="center"/>
            </w:pPr>
            <w:r>
              <w:t>С</w:t>
            </w:r>
            <w:r w:rsidR="00243521">
              <w:t>ССС Врњачка Бања</w:t>
            </w:r>
            <w:r>
              <w:t xml:space="preserve"> 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EC171B" w:rsidRDefault="00243521" w:rsidP="00243521">
            <w:pPr>
              <w:jc w:val="center"/>
            </w:pPr>
            <w:r>
              <w:t>Стоп мобинг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EC171B" w:rsidRDefault="00243521" w:rsidP="00243521">
            <w:pPr>
              <w:jc w:val="center"/>
            </w:pPr>
            <w:r>
              <w:t>300</w:t>
            </w:r>
            <w:r w:rsidR="00EC171B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243521" w:rsidP="00E71A8C">
            <w:pPr>
              <w:jc w:val="center"/>
            </w:pPr>
            <w:r>
              <w:t>8</w:t>
            </w:r>
            <w:r w:rsidR="00EC171B">
              <w:t>0</w:t>
            </w:r>
          </w:p>
        </w:tc>
      </w:tr>
      <w:tr w:rsidR="00EC171B" w:rsidTr="00E71A8C">
        <w:tc>
          <w:tcPr>
            <w:tcW w:w="9576" w:type="dxa"/>
            <w:gridSpan w:val="10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4F6286" w:rsidRDefault="00EC171B" w:rsidP="0007686E">
            <w:pPr>
              <w:jc w:val="both"/>
            </w:pPr>
            <w:r w:rsidRPr="00163105">
              <w:t xml:space="preserve">Програм </w:t>
            </w:r>
            <w:r w:rsidR="00E0077F" w:rsidRPr="00163105">
              <w:t xml:space="preserve">је усаглашен са општим интересом у области </w:t>
            </w:r>
            <w:r w:rsidR="0007686E">
              <w:rPr>
                <w:lang/>
              </w:rPr>
              <w:t xml:space="preserve">заштите људских и мањинских </w:t>
            </w:r>
            <w:proofErr w:type="gramStart"/>
            <w:r w:rsidR="0007686E">
              <w:rPr>
                <w:lang/>
              </w:rPr>
              <w:t>права</w:t>
            </w:r>
            <w:r w:rsidR="004F6286" w:rsidRPr="00163105">
              <w:t xml:space="preserve"> .</w:t>
            </w:r>
            <w:proofErr w:type="gramEnd"/>
            <w:r w:rsidR="004F6286" w:rsidRPr="00163105">
              <w:t xml:space="preserve"> </w:t>
            </w:r>
            <w:r w:rsidR="0007686E" w:rsidRPr="00163105">
              <w:t>Јасно је изложена идеја са реалистичним буџетом који је у складу са активностима и очекиваним резултатима конкурса</w:t>
            </w:r>
            <w:proofErr w:type="gramStart"/>
            <w:r w:rsidR="0007686E" w:rsidRPr="00163105">
              <w:t>.</w:t>
            </w:r>
            <w:r w:rsidR="0007686E">
              <w:rPr>
                <w:lang/>
              </w:rPr>
              <w:t>.</w:t>
            </w:r>
            <w:proofErr w:type="gramEnd"/>
            <w:r w:rsidR="0007686E">
              <w:rPr>
                <w:lang/>
              </w:rPr>
              <w:t xml:space="preserve"> Активности обезбеђују висок ниво видљивости на ројекту . Пројекат активно укључује грађане и грађанке на реализацији пројектних активности </w:t>
            </w:r>
          </w:p>
        </w:tc>
      </w:tr>
      <w:tr w:rsidR="00243521" w:rsidTr="0007588F">
        <w:tc>
          <w:tcPr>
            <w:tcW w:w="1135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243521" w:rsidTr="0007588F">
        <w:tc>
          <w:tcPr>
            <w:tcW w:w="1135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5.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EC171B" w:rsidRDefault="00EC171B" w:rsidP="00EC171B">
            <w:pPr>
              <w:jc w:val="center"/>
            </w:pPr>
            <w:r>
              <w:t>400-434</w:t>
            </w:r>
            <w:r w:rsidRPr="00EE1AAE">
              <w:t>/2</w:t>
            </w:r>
            <w: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EC171B" w:rsidRPr="00EC171B" w:rsidRDefault="00243521" w:rsidP="00243521">
            <w:pPr>
              <w:jc w:val="center"/>
            </w:pPr>
            <w:r>
              <w:t>Удружење за заштиту животне средине ВРЊЦИ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EC171B" w:rsidRDefault="00243521" w:rsidP="0024352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Ограђивање игралишта у Врњцима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EC171B" w:rsidRDefault="00243521" w:rsidP="00243521">
            <w:pPr>
              <w:jc w:val="center"/>
            </w:pPr>
            <w:r>
              <w:t>2</w:t>
            </w:r>
            <w:r w:rsidR="00EC171B">
              <w:t>50.000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EC171B" w:rsidP="00243521">
            <w:pPr>
              <w:jc w:val="center"/>
            </w:pPr>
            <w:r>
              <w:t>7</w:t>
            </w:r>
            <w:r w:rsidR="00243521">
              <w:t>2</w:t>
            </w:r>
          </w:p>
        </w:tc>
      </w:tr>
      <w:tr w:rsidR="00EC171B" w:rsidRPr="00163105" w:rsidTr="00E71A8C">
        <w:tc>
          <w:tcPr>
            <w:tcW w:w="9576" w:type="dxa"/>
            <w:gridSpan w:val="10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163105" w:rsidRDefault="00EC171B" w:rsidP="0007686E">
            <w:pPr>
              <w:jc w:val="both"/>
            </w:pPr>
            <w:r w:rsidRPr="00163105">
              <w:t xml:space="preserve">Програм </w:t>
            </w:r>
            <w:r w:rsidR="004F6286" w:rsidRPr="00163105">
              <w:t xml:space="preserve">је </w:t>
            </w:r>
            <w:proofErr w:type="gramStart"/>
            <w:r w:rsidR="004F6286" w:rsidRPr="00163105">
              <w:t>усаглашен  са</w:t>
            </w:r>
            <w:proofErr w:type="gramEnd"/>
            <w:r w:rsidR="004F6286" w:rsidRPr="00163105">
              <w:t xml:space="preserve"> општим интересом у области </w:t>
            </w:r>
            <w:r w:rsidR="0007686E">
              <w:rPr>
                <w:lang/>
              </w:rPr>
              <w:t>заштите животне средине  кроз опремање простора за активну рекреацију већег броја грађана и грађанки</w:t>
            </w:r>
            <w:r w:rsidR="004F6286" w:rsidRPr="00163105">
              <w:t>. Програм има потенцијал за дугорочну примену у заједници.</w:t>
            </w:r>
            <w:r w:rsidR="0007686E"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</w:p>
        </w:tc>
      </w:tr>
      <w:tr w:rsidR="00243521" w:rsidTr="0007588F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29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5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243521" w:rsidTr="0007588F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6.</w:t>
            </w:r>
          </w:p>
        </w:tc>
        <w:tc>
          <w:tcPr>
            <w:tcW w:w="1929" w:type="dxa"/>
            <w:gridSpan w:val="2"/>
            <w:shd w:val="clear" w:color="auto" w:fill="FDE9D9" w:themeFill="accent6" w:themeFillTint="33"/>
          </w:tcPr>
          <w:p w:rsidR="0007588F" w:rsidRDefault="0007588F" w:rsidP="00243521">
            <w:pPr>
              <w:jc w:val="center"/>
            </w:pPr>
            <w:r>
              <w:t>400-</w:t>
            </w:r>
            <w:r w:rsidR="00243521">
              <w:t>432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243521" w:rsidP="00243521">
            <w:pPr>
              <w:jc w:val="center"/>
            </w:pPr>
            <w:r>
              <w:t xml:space="preserve">Волонтерски центар 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243521" w:rsidP="00243521">
            <w:pPr>
              <w:jc w:val="center"/>
            </w:pPr>
            <w:r>
              <w:t>Здрава средина</w:t>
            </w:r>
          </w:p>
        </w:tc>
        <w:tc>
          <w:tcPr>
            <w:tcW w:w="2065" w:type="dxa"/>
            <w:gridSpan w:val="2"/>
            <w:shd w:val="clear" w:color="auto" w:fill="FDE9D9" w:themeFill="accent6" w:themeFillTint="33"/>
          </w:tcPr>
          <w:p w:rsidR="0007588F" w:rsidRDefault="00243521" w:rsidP="00444228">
            <w:pPr>
              <w:jc w:val="center"/>
            </w:pPr>
            <w:r>
              <w:t>250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243521" w:rsidRDefault="00243521" w:rsidP="00444228">
            <w:pPr>
              <w:jc w:val="center"/>
            </w:pPr>
            <w:r>
              <w:t>72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</w:pPr>
            <w:r>
              <w:lastRenderedPageBreak/>
              <w:t xml:space="preserve">Образложење. </w:t>
            </w:r>
          </w:p>
          <w:p w:rsidR="0007588F" w:rsidRPr="008F3598" w:rsidRDefault="008C423D" w:rsidP="00444228">
            <w:pPr>
              <w:jc w:val="both"/>
              <w:rPr>
                <w:lang/>
              </w:rPr>
            </w:pPr>
            <w:r w:rsidRPr="00163105">
              <w:t xml:space="preserve">Програм је </w:t>
            </w:r>
            <w:proofErr w:type="gramStart"/>
            <w:r w:rsidRPr="00163105">
              <w:t>усаглашен  са</w:t>
            </w:r>
            <w:proofErr w:type="gramEnd"/>
            <w:r w:rsidRPr="00163105">
              <w:t xml:space="preserve"> општим интересом у области </w:t>
            </w:r>
            <w:r>
              <w:rPr>
                <w:lang/>
              </w:rPr>
              <w:t>заштите животне средине .</w:t>
            </w:r>
            <w:r w:rsidRPr="00163105">
              <w:t>Програм има потенцијал за дугорочну примену у заједници. Јасно је изложена идеја са реалистичним буџетом који је у складу са активностима и очекиваним резултатима конкурса.</w:t>
            </w:r>
            <w:r>
              <w:rPr>
                <w:lang/>
              </w:rPr>
              <w:t xml:space="preserve"> Постоји вишепартнера на пројекту и јасно је одређена активност сваког партнера.</w:t>
            </w:r>
          </w:p>
        </w:tc>
      </w:tr>
      <w:tr w:rsidR="00243521" w:rsidTr="0007588F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29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5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243521" w:rsidTr="0007588F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7.</w:t>
            </w:r>
          </w:p>
        </w:tc>
        <w:tc>
          <w:tcPr>
            <w:tcW w:w="1929" w:type="dxa"/>
            <w:gridSpan w:val="2"/>
            <w:shd w:val="clear" w:color="auto" w:fill="FDE9D9" w:themeFill="accent6" w:themeFillTint="33"/>
          </w:tcPr>
          <w:p w:rsidR="0007588F" w:rsidRDefault="0007588F" w:rsidP="00243521">
            <w:pPr>
              <w:jc w:val="center"/>
            </w:pPr>
            <w:r>
              <w:t>400-</w:t>
            </w:r>
            <w:r w:rsidR="00243521">
              <w:t>385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243521" w:rsidP="00243521">
            <w:pPr>
              <w:jc w:val="center"/>
            </w:pPr>
            <w:r>
              <w:t>Коло српских сестара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243521" w:rsidP="00243521">
            <w:pPr>
              <w:jc w:val="center"/>
            </w:pPr>
            <w:r>
              <w:t>За Сасе и бању</w:t>
            </w:r>
          </w:p>
        </w:tc>
        <w:tc>
          <w:tcPr>
            <w:tcW w:w="2065" w:type="dxa"/>
            <w:gridSpan w:val="2"/>
            <w:shd w:val="clear" w:color="auto" w:fill="FDE9D9" w:themeFill="accent6" w:themeFillTint="33"/>
          </w:tcPr>
          <w:p w:rsidR="0007588F" w:rsidRDefault="00243521" w:rsidP="00444228">
            <w:pPr>
              <w:jc w:val="center"/>
            </w:pPr>
            <w:r>
              <w:t>150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243521" w:rsidRDefault="00243521" w:rsidP="00444228">
            <w:pPr>
              <w:jc w:val="center"/>
            </w:pPr>
            <w:r>
              <w:t>60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  <w:rPr>
                <w:lang/>
              </w:rPr>
            </w:pPr>
            <w:r>
              <w:t xml:space="preserve">Образложење. </w:t>
            </w:r>
          </w:p>
          <w:p w:rsidR="0007588F" w:rsidRPr="008F3598" w:rsidRDefault="008C423D" w:rsidP="00444228">
            <w:pPr>
              <w:jc w:val="both"/>
              <w:rPr>
                <w:lang/>
              </w:rPr>
            </w:pPr>
            <w:r w:rsidRPr="00163105">
              <w:t xml:space="preserve">Програм је усаглашен са општим интересом у области </w:t>
            </w:r>
            <w:r>
              <w:rPr>
                <w:lang/>
              </w:rPr>
              <w:t xml:space="preserve">развоја </w:t>
            </w:r>
            <w:proofErr w:type="gramStart"/>
            <w:r>
              <w:rPr>
                <w:lang/>
              </w:rPr>
              <w:t>туризма .</w:t>
            </w:r>
            <w:proofErr w:type="gramEnd"/>
            <w:r>
              <w:rPr>
                <w:lang/>
              </w:rPr>
              <w:t xml:space="preserve"> Пројекат активно укључује грађане и грађанке на реализацији пројектних активности . Активности обезбеђују висок ниво видљивости на ројекту . </w:t>
            </w:r>
            <w:r w:rsidRPr="00163105">
              <w:t xml:space="preserve"> Удружење располаже неопходним ресурсима за реализацију активности и спровођење активности</w:t>
            </w:r>
          </w:p>
        </w:tc>
      </w:tr>
      <w:tr w:rsidR="00243521" w:rsidTr="00444228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243521" w:rsidTr="00444228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8.</w:t>
            </w:r>
          </w:p>
        </w:tc>
        <w:tc>
          <w:tcPr>
            <w:tcW w:w="1930" w:type="dxa"/>
            <w:gridSpan w:val="2"/>
            <w:shd w:val="clear" w:color="auto" w:fill="FDE9D9" w:themeFill="accent6" w:themeFillTint="33"/>
          </w:tcPr>
          <w:p w:rsidR="0007588F" w:rsidRDefault="0007588F" w:rsidP="00243521">
            <w:pPr>
              <w:jc w:val="center"/>
            </w:pPr>
            <w:r>
              <w:t>400-</w:t>
            </w:r>
            <w:r w:rsidR="00243521">
              <w:t>393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243521" w:rsidP="00243521">
            <w:pPr>
              <w:jc w:val="center"/>
            </w:pPr>
            <w:r>
              <w:t>Горски вукови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Живот за живот</w:t>
            </w:r>
          </w:p>
        </w:tc>
        <w:tc>
          <w:tcPr>
            <w:tcW w:w="2064" w:type="dxa"/>
            <w:gridSpan w:val="2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150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60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1656E9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="008C423D">
              <w:rPr>
                <w:lang/>
              </w:rPr>
              <w:t>Борачка и инвалидска заштита</w:t>
            </w:r>
            <w:r w:rsidRPr="001656E9">
              <w:t xml:space="preserve">Циљне групе </w:t>
            </w:r>
            <w:r w:rsidR="008C423D">
              <w:rPr>
                <w:lang/>
              </w:rPr>
              <w:t>су</w:t>
            </w:r>
            <w:r w:rsidRPr="001656E9">
              <w:t xml:space="preserve">у прецизно дефинисане. Програм </w:t>
            </w:r>
            <w:r w:rsidR="008C423D">
              <w:rPr>
                <w:lang/>
              </w:rPr>
              <w:t>је</w:t>
            </w:r>
            <w:r>
              <w:t xml:space="preserve">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</w:t>
            </w:r>
            <w:r w:rsidR="008C423D" w:rsidRPr="00163105">
              <w:t xml:space="preserve"> Јасно је изложена идеја са реалистичним буџетом који је у складу са активностима и очекиваним резултатима конкурса.</w:t>
            </w:r>
            <w:r w:rsidR="008C423D">
              <w:rPr>
                <w:lang/>
              </w:rPr>
              <w:t xml:space="preserve"> </w:t>
            </w:r>
            <w:r w:rsidR="008C423D" w:rsidRPr="00163105">
              <w:t>Удружење поседује све потребне људске ресурсе за испуњење програма.</w:t>
            </w:r>
          </w:p>
          <w:p w:rsidR="0007588F" w:rsidRDefault="0007588F" w:rsidP="00444228">
            <w:pPr>
              <w:jc w:val="both"/>
            </w:pPr>
          </w:p>
        </w:tc>
      </w:tr>
    </w:tbl>
    <w:p w:rsidR="00163105" w:rsidRDefault="00163105" w:rsidP="00C533DB">
      <w:pPr>
        <w:jc w:val="center"/>
      </w:pPr>
    </w:p>
    <w:p w:rsidR="0007588F" w:rsidRPr="00B27D6F" w:rsidRDefault="0007588F" w:rsidP="0007588F">
      <w:pPr>
        <w:spacing w:after="0"/>
        <w:jc w:val="both"/>
        <w:rPr>
          <w:b/>
        </w:rPr>
      </w:pPr>
      <w:proofErr w:type="gramStart"/>
      <w:r w:rsidRPr="00B27D6F">
        <w:rPr>
          <w:b/>
        </w:rPr>
        <w:t xml:space="preserve">Програми под редним бројем од 1 до 8 су одобрени за </w:t>
      </w:r>
      <w:r w:rsidR="00B27D6F">
        <w:rPr>
          <w:b/>
        </w:rPr>
        <w:t>с</w:t>
      </w:r>
      <w:r w:rsidRPr="00B27D6F">
        <w:rPr>
          <w:b/>
        </w:rPr>
        <w:t>уфинансирање.</w:t>
      </w:r>
      <w:proofErr w:type="gramEnd"/>
    </w:p>
    <w:p w:rsidR="0007588F" w:rsidRPr="00B27D6F" w:rsidRDefault="0007588F" w:rsidP="0007588F">
      <w:pPr>
        <w:spacing w:after="0"/>
        <w:jc w:val="both"/>
        <w:rPr>
          <w:b/>
        </w:rPr>
      </w:pPr>
      <w:r w:rsidRPr="00B27D6F">
        <w:rPr>
          <w:b/>
        </w:rPr>
        <w:t xml:space="preserve">Програм под редним бројем 9 до 14 нису </w:t>
      </w:r>
      <w:proofErr w:type="gramStart"/>
      <w:r w:rsidRPr="00B27D6F">
        <w:rPr>
          <w:b/>
        </w:rPr>
        <w:t>одобрен</w:t>
      </w:r>
      <w:r w:rsidR="00B27D6F">
        <w:rPr>
          <w:b/>
        </w:rPr>
        <w:t xml:space="preserve">и </w:t>
      </w:r>
      <w:r w:rsidRPr="00B27D6F">
        <w:rPr>
          <w:b/>
        </w:rPr>
        <w:t xml:space="preserve"> за</w:t>
      </w:r>
      <w:proofErr w:type="gramEnd"/>
      <w:r w:rsidRPr="00B27D6F">
        <w:rPr>
          <w:b/>
        </w:rPr>
        <w:t xml:space="preserve"> финансирање/суфинансирање.</w:t>
      </w:r>
    </w:p>
    <w:p w:rsidR="0007588F" w:rsidRDefault="0007588F" w:rsidP="00C533DB">
      <w:pPr>
        <w:jc w:val="center"/>
      </w:pPr>
    </w:p>
    <w:tbl>
      <w:tblPr>
        <w:tblStyle w:val="TableGrid"/>
        <w:tblW w:w="0" w:type="auto"/>
        <w:tblLook w:val="04A0"/>
      </w:tblPr>
      <w:tblGrid>
        <w:gridCol w:w="1148"/>
        <w:gridCol w:w="1930"/>
        <w:gridCol w:w="1350"/>
        <w:gridCol w:w="2076"/>
        <w:gridCol w:w="2064"/>
        <w:gridCol w:w="1008"/>
      </w:tblGrid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9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400-439</w:t>
            </w:r>
            <w:r w:rsidR="0007588F" w:rsidRPr="00EE1AAE">
              <w:t>/2</w:t>
            </w:r>
            <w: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ПУЛС 2005</w:t>
            </w:r>
            <w:r w:rsidR="0007588F">
              <w:t>к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Путеви здравља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5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1656E9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 xml:space="preserve">Циљне групе нису прецизно дефинисане.Корисник програма је мала </w:t>
            </w:r>
            <w:proofErr w:type="gramStart"/>
            <w:r w:rsidRPr="001656E9">
              <w:t>група .</w:t>
            </w:r>
            <w:proofErr w:type="gramEnd"/>
            <w:r w:rsidRPr="001656E9">
              <w:t xml:space="preserve"> Програм није д</w:t>
            </w:r>
            <w:r>
              <w:t>овољно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</w:t>
            </w:r>
          </w:p>
          <w:p w:rsidR="0007588F" w:rsidRDefault="0007588F" w:rsidP="00444228">
            <w:pPr>
              <w:jc w:val="both"/>
            </w:pPr>
            <w:r w:rsidRPr="001656E9">
              <w:t>. Видљивост активности Програма није обезбеђена</w:t>
            </w:r>
            <w:r>
              <w:t>.</w:t>
            </w:r>
            <w:r w:rsidRPr="001656E9">
              <w:t xml:space="preserve"> Индикатори резултата програма нису јасно дефинисани.</w:t>
            </w:r>
          </w:p>
        </w:tc>
      </w:tr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10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400-</w:t>
            </w:r>
            <w:r w:rsidR="00B27D6F">
              <w:t>428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Искорак напред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Друштвена брига о деци и младима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5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1656E9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 xml:space="preserve">Циљне групе нису прецизно </w:t>
            </w:r>
            <w:r w:rsidRPr="001656E9">
              <w:lastRenderedPageBreak/>
              <w:t>дефинисане.Корисник програма је мала група – подносилац пројекта. Недовољан организациони и управљачки капацитет на пројекту.</w:t>
            </w:r>
          </w:p>
          <w:p w:rsidR="0007588F" w:rsidRDefault="0007588F" w:rsidP="00444228">
            <w:pPr>
              <w:jc w:val="both"/>
            </w:pPr>
            <w:r w:rsidRPr="001656E9">
              <w:t xml:space="preserve"> Видљивост активности Програма није обезбеђена</w:t>
            </w:r>
            <w:r>
              <w:t>.</w:t>
            </w:r>
            <w:r w:rsidRPr="001656E9">
              <w:t xml:space="preserve"> Индикатори резултата програма нису јасно дефинисани.</w:t>
            </w:r>
          </w:p>
        </w:tc>
      </w:tr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lastRenderedPageBreak/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11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400-</w:t>
            </w:r>
            <w:r w:rsidR="00B27D6F">
              <w:t>448/21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ЛУ СОКО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 xml:space="preserve">Унапређење стања животне средине 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3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8F3598" w:rsidRDefault="0007588F" w:rsidP="00444228">
            <w:pPr>
              <w:jc w:val="both"/>
              <w:rPr>
                <w:lang/>
              </w:rPr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>Циљне групе нису прецизно дефинисане.Корисник програма је мала група – подносилац пројекта. Програм није д</w:t>
            </w:r>
            <w:r>
              <w:t>овољно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</w:t>
            </w:r>
          </w:p>
        </w:tc>
      </w:tr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12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400-</w:t>
            </w:r>
            <w:r w:rsidR="00B27D6F">
              <w:t>436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Миленијум 2020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Зелена оаза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3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>Циљне групе нису прецизно дефинисане.Корисник програма је мала група – подносилац пројекта. Програм није д</w:t>
            </w:r>
            <w:r>
              <w:t>овољно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пројекту.Индикатори резултата програма нису јасно дефинисани.</w:t>
            </w:r>
          </w:p>
        </w:tc>
      </w:tr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13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400-</w:t>
            </w:r>
            <w:r w:rsidR="00B27D6F">
              <w:t>368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Ранч Дебељак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Рурални туризам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1656E9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>Циљне групе нису прецизно дефинисане.Корисник програма је мала група – подносилац пројекта. Програм није д</w:t>
            </w:r>
            <w:r>
              <w:t>овољно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</w:t>
            </w:r>
          </w:p>
          <w:p w:rsidR="0007588F" w:rsidRDefault="0007588F" w:rsidP="00444228">
            <w:pPr>
              <w:jc w:val="both"/>
            </w:pPr>
            <w:r w:rsidRPr="001656E9">
              <w:t>Буџет Програма није реалистича</w:t>
            </w:r>
            <w:r>
              <w:t xml:space="preserve">н, </w:t>
            </w:r>
            <w:r w:rsidRPr="001656E9">
              <w:t xml:space="preserve">углавном је </w:t>
            </w:r>
            <w:proofErr w:type="gramStart"/>
            <w:r w:rsidRPr="001656E9">
              <w:t>базиран  на</w:t>
            </w:r>
            <w:proofErr w:type="gramEnd"/>
            <w:r w:rsidRPr="001656E9">
              <w:t xml:space="preserve"> набавци опреме. Видљивост активности Програма није обезбеђена</w:t>
            </w:r>
            <w:r>
              <w:t>.</w:t>
            </w:r>
            <w:r w:rsidRPr="001656E9">
              <w:t xml:space="preserve"> Индикатори резултата програма нису јасно дефинисани.</w:t>
            </w:r>
          </w:p>
        </w:tc>
      </w:tr>
      <w:tr w:rsidR="00B27D6F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B27D6F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</w:t>
            </w:r>
            <w:r w:rsidR="0007588F">
              <w:t>4.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400-</w:t>
            </w:r>
            <w:r w:rsidR="00B27D6F">
              <w:t>431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Новоселац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Годишњи програм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  <w:r>
              <w:t>4</w:t>
            </w:r>
            <w:r w:rsidR="00B27D6F">
              <w:t>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Pr="001656E9" w:rsidRDefault="0007588F" w:rsidP="00444228">
            <w:pPr>
              <w:jc w:val="both"/>
            </w:pPr>
            <w:r w:rsidRPr="001656E9">
              <w:t>Програм великим делом није успунио</w:t>
            </w:r>
            <w:r>
              <w:t xml:space="preserve"> услове конкурса и то: </w:t>
            </w:r>
            <w:r w:rsidRPr="001656E9">
              <w:t>Циљне групе нису прецизно дефинисане. Програм није д</w:t>
            </w:r>
            <w:r>
              <w:t>овољно релевантан за остваривањ</w:t>
            </w:r>
            <w:r w:rsidRPr="001656E9">
              <w:t>е</w:t>
            </w:r>
            <w:r>
              <w:t xml:space="preserve"> </w:t>
            </w:r>
            <w:r w:rsidRPr="001656E9">
              <w:t>јавног интереса.</w:t>
            </w:r>
            <w:r>
              <w:t xml:space="preserve"> </w:t>
            </w:r>
            <w:r w:rsidRPr="001656E9">
              <w:t>Недовољан организациони и управљачки капацитет на пројекту.</w:t>
            </w:r>
          </w:p>
          <w:p w:rsidR="0007588F" w:rsidRDefault="0007588F" w:rsidP="00444228">
            <w:pPr>
              <w:jc w:val="both"/>
            </w:pPr>
            <w:r w:rsidRPr="001656E9">
              <w:t>Буџет Програма није реалистича</w:t>
            </w:r>
            <w:r>
              <w:t xml:space="preserve">н, </w:t>
            </w:r>
            <w:r w:rsidRPr="001656E9">
              <w:t xml:space="preserve">углавном је </w:t>
            </w:r>
            <w:proofErr w:type="gramStart"/>
            <w:r w:rsidRPr="001656E9">
              <w:t>базиран  на</w:t>
            </w:r>
            <w:proofErr w:type="gramEnd"/>
            <w:r w:rsidRPr="001656E9">
              <w:t xml:space="preserve"> набавци опреме. Видљивост активности Програма није обезбеђена</w:t>
            </w:r>
            <w:r>
              <w:t>.</w:t>
            </w:r>
            <w:r w:rsidRPr="001656E9">
              <w:t xml:space="preserve"> Индикатори резултата програма нису јасно дефинисани.</w:t>
            </w:r>
          </w:p>
        </w:tc>
      </w:tr>
    </w:tbl>
    <w:p w:rsidR="0007588F" w:rsidRPr="0007588F" w:rsidRDefault="0007588F" w:rsidP="00C533DB">
      <w:pPr>
        <w:jc w:val="center"/>
      </w:pPr>
    </w:p>
    <w:p w:rsidR="008F3598" w:rsidRDefault="008F3598" w:rsidP="008F3598">
      <w:pPr>
        <w:jc w:val="center"/>
        <w:rPr>
          <w:lang/>
        </w:rPr>
      </w:pPr>
    </w:p>
    <w:p w:rsidR="008F3598" w:rsidRDefault="008F3598" w:rsidP="008F3598">
      <w:pPr>
        <w:jc w:val="center"/>
        <w:rPr>
          <w:lang/>
        </w:rPr>
      </w:pPr>
    </w:p>
    <w:p w:rsidR="008F3598" w:rsidRDefault="0083350E" w:rsidP="008F3598">
      <w:pPr>
        <w:jc w:val="center"/>
        <w:rPr>
          <w:lang/>
        </w:rPr>
      </w:pPr>
      <w:proofErr w:type="gramStart"/>
      <w:r>
        <w:lastRenderedPageBreak/>
        <w:t>Члан 3</w:t>
      </w:r>
      <w:r w:rsidR="00C533DB">
        <w:t>.</w:t>
      </w:r>
      <w:proofErr w:type="gramEnd"/>
    </w:p>
    <w:p w:rsidR="0083350E" w:rsidRDefault="0083350E" w:rsidP="008F3598">
      <w:pPr>
        <w:ind w:firstLine="720"/>
        <w:jc w:val="both"/>
      </w:pPr>
      <w:r>
        <w:t>Финансирање/суфинансирање Пр</w:t>
      </w:r>
      <w:r w:rsidR="00B46D41">
        <w:t>ограма по овом Решењу обезбеђен</w:t>
      </w:r>
      <w:bookmarkStart w:id="0" w:name="_GoBack"/>
      <w:bookmarkEnd w:id="0"/>
      <w:r>
        <w:t>о је из финансијских средстава Одлуком о буџету општине Врњачка Бања за 202</w:t>
      </w:r>
      <w:r w:rsidR="000D16A2">
        <w:t>1</w:t>
      </w:r>
      <w:r>
        <w:t xml:space="preserve">.годину („Службени лист општине Врњачка Бања“ бр. </w:t>
      </w:r>
      <w:r w:rsidR="000D16A2">
        <w:t>71/20</w:t>
      </w:r>
      <w:r>
        <w:t xml:space="preserve">) у разделу 4.глава 4.01.16 Удружења и савези, програм 0602 локална самоуправа, програмска активност 0602-0001 функционисање локалне самоуправе, конто 4819 дотације осталим непрофитним институцијама, за доделу удружењима, у укупном износу </w:t>
      </w:r>
      <w:r w:rsidR="000D16A2">
        <w:t>2</w:t>
      </w:r>
      <w:r>
        <w:t>5.</w:t>
      </w:r>
      <w:r w:rsidR="000D16A2">
        <w:t>0</w:t>
      </w:r>
      <w:r>
        <w:t xml:space="preserve">00.000,00 динара, а по овом конкурсу опредељује се укупно </w:t>
      </w:r>
      <w:r w:rsidR="000D16A2">
        <w:t>2</w:t>
      </w:r>
      <w:r>
        <w:t>.</w:t>
      </w:r>
      <w:r w:rsidR="000D16A2">
        <w:t>000</w:t>
      </w:r>
      <w:r>
        <w:t>.</w:t>
      </w:r>
      <w:r w:rsidR="000D16A2">
        <w:t>000</w:t>
      </w:r>
      <w:r>
        <w:t xml:space="preserve">,00 динара. </w:t>
      </w:r>
    </w:p>
    <w:p w:rsidR="0083350E" w:rsidRDefault="0083350E" w:rsidP="00FE52E1">
      <w:pPr>
        <w:jc w:val="center"/>
      </w:pPr>
      <w:r w:rsidRPr="0083350E">
        <w:t>Члан 4</w:t>
      </w:r>
    </w:p>
    <w:p w:rsidR="00C533DB" w:rsidRDefault="00C533DB" w:rsidP="008F3598">
      <w:pPr>
        <w:ind w:firstLine="720"/>
        <w:jc w:val="both"/>
      </w:pPr>
      <w:r>
        <w:t xml:space="preserve">Позива се удружење подносилац одобреног пројекта да у року од три дана од дана објављивања овог Решења, достави усклађен финансијски план пројекта са одобреним средствима </w:t>
      </w:r>
      <w:r w:rsidR="00313FDA">
        <w:t>Комисији за спровођење јавниг конкурса</w:t>
      </w:r>
      <w:r>
        <w:t xml:space="preserve"> у два примерка, изјаву да средства за реализацију одобреног пројекта нису на други начин већ обезбеђена, изјаву о непостојању сукоба инетереса и интерни акт о антикорупцијској политици.</w:t>
      </w:r>
    </w:p>
    <w:p w:rsidR="00C533DB" w:rsidRDefault="00C533DB" w:rsidP="008F3598">
      <w:pPr>
        <w:ind w:firstLine="720"/>
        <w:jc w:val="both"/>
      </w:pPr>
      <w:proofErr w:type="gramStart"/>
      <w:r>
        <w:t>Након достављања документације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од стране подносиоца одобреног пројекта, закључиће се уговор о финансирању којим ће се регулисати међусобна права и обавезе уговорених страна.</w:t>
      </w:r>
    </w:p>
    <w:p w:rsidR="00C533DB" w:rsidRDefault="00C533DB" w:rsidP="008F3598">
      <w:pPr>
        <w:ind w:firstLine="720"/>
        <w:jc w:val="both"/>
      </w:pPr>
      <w:proofErr w:type="gramStart"/>
      <w:r>
        <w:t>Уколико подносилац одобр</w:t>
      </w:r>
      <w:r w:rsidR="0083350E">
        <w:t>еног пројекта не достави докуме</w:t>
      </w:r>
      <w:r>
        <w:t>н</w:t>
      </w:r>
      <w:r w:rsidR="0083350E">
        <w:t>т</w:t>
      </w:r>
      <w:r>
        <w:t>ацију прописану у ставу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сматра се да је одустао од реализације програма.</w:t>
      </w:r>
    </w:p>
    <w:p w:rsidR="00C533DB" w:rsidRDefault="00C533DB" w:rsidP="00FE52E1">
      <w:pPr>
        <w:jc w:val="center"/>
      </w:pPr>
      <w:proofErr w:type="gramStart"/>
      <w:r>
        <w:t>Члан 5.</w:t>
      </w:r>
      <w:proofErr w:type="gramEnd"/>
    </w:p>
    <w:p w:rsidR="00C533DB" w:rsidRDefault="00C533DB" w:rsidP="008F3598">
      <w:pPr>
        <w:ind w:firstLine="720"/>
        <w:jc w:val="both"/>
      </w:pPr>
      <w:proofErr w:type="gramStart"/>
      <w:r>
        <w:t>Корисник одобрених средстава дужан је да Одељењу за буџет, финансије, привреду и друштвене делатности Општинске управе општине Врњачка Бања достави завршни финансијски извештај најкасније до 31.</w:t>
      </w:r>
      <w:r w:rsidR="000D16A2">
        <w:t>12</w:t>
      </w:r>
      <w:r>
        <w:t>.202</w:t>
      </w:r>
      <w:r w:rsidR="001B320E">
        <w:t>1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>.</w:t>
      </w:r>
    </w:p>
    <w:p w:rsidR="00C533DB" w:rsidRDefault="00C533DB" w:rsidP="008F3598">
      <w:pPr>
        <w:ind w:firstLine="720"/>
        <w:jc w:val="both"/>
      </w:pPr>
      <w:r>
        <w:t xml:space="preserve">Корисник одобрених средстава обавезан је </w:t>
      </w:r>
      <w:proofErr w:type="gramStart"/>
      <w:r>
        <w:t>да  омогући</w:t>
      </w:r>
      <w:proofErr w:type="gramEnd"/>
      <w:r>
        <w:t xml:space="preserve"> праћење реализације пројекта Комисији за </w:t>
      </w:r>
      <w:r w:rsidR="00313FDA">
        <w:t xml:space="preserve">раћење и контролу реализације </w:t>
      </w:r>
      <w:r>
        <w:t xml:space="preserve"> пројеката од јавног интереса.</w:t>
      </w:r>
    </w:p>
    <w:p w:rsidR="00C533DB" w:rsidRDefault="00C533DB" w:rsidP="00FE52E1">
      <w:pPr>
        <w:jc w:val="center"/>
      </w:pPr>
      <w:proofErr w:type="gramStart"/>
      <w:r>
        <w:t>Члан 6.</w:t>
      </w:r>
      <w:proofErr w:type="gramEnd"/>
    </w:p>
    <w:p w:rsidR="00C533DB" w:rsidRDefault="00C533DB" w:rsidP="008F3598">
      <w:pPr>
        <w:ind w:firstLine="720"/>
        <w:jc w:val="both"/>
      </w:pPr>
      <w:proofErr w:type="gramStart"/>
      <w:r>
        <w:t>Одлука ступа на снагу даном доношења.</w:t>
      </w:r>
      <w:proofErr w:type="gramEnd"/>
    </w:p>
    <w:p w:rsidR="00C533DB" w:rsidRDefault="00C533DB" w:rsidP="00FE52E1">
      <w:pPr>
        <w:jc w:val="center"/>
      </w:pPr>
      <w:proofErr w:type="gramStart"/>
      <w:r>
        <w:t>Члан 7.</w:t>
      </w:r>
      <w:proofErr w:type="gramEnd"/>
    </w:p>
    <w:p w:rsidR="008F3598" w:rsidRDefault="00C533DB" w:rsidP="008F3598">
      <w:pPr>
        <w:spacing w:after="0"/>
        <w:jc w:val="both"/>
        <w:rPr>
          <w:lang/>
        </w:rPr>
      </w:pPr>
      <w:r>
        <w:t>Одлуку доставити: Подносиоцима одобрених пројекта, Конкурсној Комисији, Одељењу за буџет, финансије,</w:t>
      </w:r>
      <w:r w:rsidR="008F3598">
        <w:rPr>
          <w:lang/>
        </w:rPr>
        <w:tab/>
      </w:r>
      <w:r w:rsidR="008F3598">
        <w:rPr>
          <w:lang/>
        </w:rPr>
        <w:tab/>
      </w:r>
    </w:p>
    <w:p w:rsidR="009952F3" w:rsidRDefault="008F3598" w:rsidP="008F3598">
      <w:pPr>
        <w:spacing w:after="0"/>
        <w:ind w:left="2160"/>
        <w:jc w:val="both"/>
      </w:pPr>
      <w:r>
        <w:rPr>
          <w:lang/>
        </w:rPr>
        <w:t xml:space="preserve">           </w:t>
      </w:r>
      <w:r w:rsidR="009952F3">
        <w:t>ПРЕДСЕДНИК ОПШТИНЕ ВРЊАЧКА БАЊА</w:t>
      </w:r>
    </w:p>
    <w:p w:rsidR="008F3598" w:rsidRDefault="009952F3" w:rsidP="008F3598">
      <w:pPr>
        <w:spacing w:after="0"/>
        <w:jc w:val="center"/>
        <w:rPr>
          <w:lang/>
        </w:rPr>
      </w:pPr>
      <w:proofErr w:type="gramStart"/>
      <w:r w:rsidRPr="00893158">
        <w:t>Број :</w:t>
      </w:r>
      <w:proofErr w:type="gramEnd"/>
      <w:r w:rsidRPr="00893158">
        <w:t xml:space="preserve"> 400-</w:t>
      </w:r>
      <w:r w:rsidR="000D16A2">
        <w:t>274</w:t>
      </w:r>
      <w:r w:rsidRPr="00893158">
        <w:t>/20</w:t>
      </w:r>
      <w:r w:rsidR="000D16A2">
        <w:t>-</w:t>
      </w:r>
      <w:r w:rsidR="00B27D6F">
        <w:t>2</w:t>
      </w:r>
      <w:r w:rsidRPr="00893158">
        <w:t xml:space="preserve"> од </w:t>
      </w:r>
      <w:r w:rsidR="000D16A2">
        <w:t>22</w:t>
      </w:r>
      <w:r w:rsidRPr="00893158">
        <w:t>.</w:t>
      </w:r>
      <w:r w:rsidR="000D16A2">
        <w:t>04</w:t>
      </w:r>
      <w:r w:rsidRPr="00893158">
        <w:t>.202</w:t>
      </w:r>
      <w:r w:rsidR="000D16A2">
        <w:t>1</w:t>
      </w:r>
      <w:r w:rsidRPr="00893158">
        <w:t xml:space="preserve"> године</w:t>
      </w:r>
    </w:p>
    <w:p w:rsidR="009952F3" w:rsidRDefault="009952F3" w:rsidP="008F3598">
      <w:pPr>
        <w:spacing w:after="0"/>
        <w:jc w:val="center"/>
      </w:pPr>
      <w:r>
        <w:t xml:space="preserve"> </w:t>
      </w:r>
    </w:p>
    <w:p w:rsidR="009952F3" w:rsidRDefault="009952F3" w:rsidP="0009062F">
      <w:pPr>
        <w:spacing w:after="0"/>
        <w:jc w:val="center"/>
      </w:pPr>
      <w:r>
        <w:t>ПРЕДСЕДНИК ОПШТИНЕ</w:t>
      </w:r>
    </w:p>
    <w:p w:rsidR="009952F3" w:rsidRDefault="009952F3" w:rsidP="0009062F">
      <w:pPr>
        <w:spacing w:after="0"/>
        <w:jc w:val="center"/>
      </w:pPr>
      <w:r>
        <w:t xml:space="preserve"> Бобан Ђуровић</w:t>
      </w:r>
    </w:p>
    <w:sectPr w:rsidR="009952F3" w:rsidSect="00E7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9A" w:rsidRDefault="001B569A" w:rsidP="008F3598">
      <w:pPr>
        <w:spacing w:after="0" w:line="240" w:lineRule="auto"/>
      </w:pPr>
      <w:r>
        <w:separator/>
      </w:r>
    </w:p>
  </w:endnote>
  <w:endnote w:type="continuationSeparator" w:id="0">
    <w:p w:rsidR="001B569A" w:rsidRDefault="001B569A" w:rsidP="008F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9A" w:rsidRDefault="001B569A" w:rsidP="008F3598">
      <w:pPr>
        <w:spacing w:after="0" w:line="240" w:lineRule="auto"/>
      </w:pPr>
      <w:r>
        <w:separator/>
      </w:r>
    </w:p>
  </w:footnote>
  <w:footnote w:type="continuationSeparator" w:id="0">
    <w:p w:rsidR="001B569A" w:rsidRDefault="001B569A" w:rsidP="008F3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B82"/>
    <w:rsid w:val="00033EEB"/>
    <w:rsid w:val="0007588F"/>
    <w:rsid w:val="0007686E"/>
    <w:rsid w:val="0009062F"/>
    <w:rsid w:val="000D16A2"/>
    <w:rsid w:val="00163105"/>
    <w:rsid w:val="001656E9"/>
    <w:rsid w:val="001A4F89"/>
    <w:rsid w:val="001B320E"/>
    <w:rsid w:val="001B569A"/>
    <w:rsid w:val="001F431A"/>
    <w:rsid w:val="00215CBB"/>
    <w:rsid w:val="00243521"/>
    <w:rsid w:val="002A317F"/>
    <w:rsid w:val="00313FDA"/>
    <w:rsid w:val="003B2548"/>
    <w:rsid w:val="003B5BB1"/>
    <w:rsid w:val="004F59C6"/>
    <w:rsid w:val="004F6286"/>
    <w:rsid w:val="00564688"/>
    <w:rsid w:val="005E1DB3"/>
    <w:rsid w:val="00612BEF"/>
    <w:rsid w:val="00721595"/>
    <w:rsid w:val="00724B82"/>
    <w:rsid w:val="00726D50"/>
    <w:rsid w:val="0083350E"/>
    <w:rsid w:val="00893158"/>
    <w:rsid w:val="008C423D"/>
    <w:rsid w:val="008F3598"/>
    <w:rsid w:val="009952F3"/>
    <w:rsid w:val="00B27D6F"/>
    <w:rsid w:val="00B46D41"/>
    <w:rsid w:val="00B67984"/>
    <w:rsid w:val="00B76183"/>
    <w:rsid w:val="00C3129B"/>
    <w:rsid w:val="00C533DB"/>
    <w:rsid w:val="00C669BB"/>
    <w:rsid w:val="00CC451E"/>
    <w:rsid w:val="00D149CF"/>
    <w:rsid w:val="00D4241B"/>
    <w:rsid w:val="00D7399D"/>
    <w:rsid w:val="00D97640"/>
    <w:rsid w:val="00E0077F"/>
    <w:rsid w:val="00E04500"/>
    <w:rsid w:val="00E714F0"/>
    <w:rsid w:val="00EB32EC"/>
    <w:rsid w:val="00EC171B"/>
    <w:rsid w:val="00EE1AAE"/>
    <w:rsid w:val="00FB115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3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598"/>
  </w:style>
  <w:style w:type="paragraph" w:styleId="Footer">
    <w:name w:val="footer"/>
    <w:basedOn w:val="Normal"/>
    <w:link w:val="FooterChar"/>
    <w:uiPriority w:val="99"/>
    <w:semiHidden/>
    <w:unhideWhenUsed/>
    <w:rsid w:val="008F3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r.curcic</cp:lastModifiedBy>
  <cp:revision>4</cp:revision>
  <dcterms:created xsi:type="dcterms:W3CDTF">2021-04-22T09:18:00Z</dcterms:created>
  <dcterms:modified xsi:type="dcterms:W3CDTF">2021-04-26T10:43:00Z</dcterms:modified>
</cp:coreProperties>
</file>