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3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Vrnjačka Banja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517E71E1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100917981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Kruševačka 17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36210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7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Vrnjačka Banja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10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18.11.2020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9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400-2595/20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8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4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Vrnjačka Banja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1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400-2595/20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20"/>
      <w:bookmarkEnd w:id="1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Konfiskati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4" w:name="19"/>
      <w:bookmarkEnd w:id="14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F02-0004457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7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8" w:name="22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90512000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9" w:name="1"/>
      <w:bookmarkEnd w:id="1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Konfiskati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0" w:name="2"/>
      <w:bookmarkEnd w:id="20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560.000,00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1" w:name="3"/>
      <w:bookmarkEnd w:id="21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2" w:name="11"/>
      <w:bookmarkEnd w:id="2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ANĐELIJA STEVANOVIĆ PREDUZETNIK RADNJA ZA ČIŠĆENJE OBJEKATA I OSTALE USLUGE U POLJOPRIVREDI AVENIJA MB BEOGRAD (ZVEZDARA)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106478735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MARKA OREŠKOVIĆA, 44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Beograd (Zvezdara)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8"/>
            <w:bookmarkEnd w:id="28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560.000,00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672.000,00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31" w:name="7"/>
      <w:bookmarkEnd w:id="31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1F55F6" w:rsidRPr="001F55F6" w:rsidP="001F55F6" w14:paraId="3FF73ED6" w14:textId="77F36E84">
      <w:pPr>
        <w:spacing w:before="120" w:after="120"/>
        <w:rPr>
          <w:rFonts w:cstheme="minorHAnsi"/>
          <w:sz w:val="20"/>
          <w:szCs w:val="20"/>
        </w:rPr>
      </w:pPr>
      <w:bookmarkStart w:id="32" w:name="4"/>
      <w:bookmarkEnd w:id="32"/>
      <w:r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 skladu sa čl.146.ZJN, Naručilac donosi Odluku o dodeli ugovora, obzirom da je u fazi stručne ocene ponuda utvrđeno da su se stekli uslovi za dodelu ugovora o javnoj nabavci.</w:t>
      </w:r>
    </w:p>
    <w:p w:rsidP="001F55F6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Ugovor se dodeljuje ponuđaču - Radnji za čišćenje objekata i ostale usluge u poljoprivredi "Avenija MB" iz Beograda, u iznosu ponuđene cene po kg. otpada životinjskog porekla I i II kategorije, što za period ugovaranja do 12 meseci od dana zaključenja ugovora , može iznositi do do visine procenjene vrednosti javne nabavke od  560.000,00 dinara bez PDV, odnosno 672.000,00 dinara sa PDV.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3" w:name="12"/>
      <w:bookmarkEnd w:id="0"/>
      <w:bookmarkEnd w:id="33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odluke naručioca kojom se okončava postupak javne nabavke,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18.11.2020 09:06:27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Konfiskati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400-2595/20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560.000,00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90512000-Usluge prevoza otpada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Usluga uklanja leševa životinja.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F02-0004457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29.10.2020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10.11.2020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Ivana Jovanović, dipl.prav, zamenik člana,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Ružica Mitrović, dipl.ek.,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Vladimir Stamenčić, dipl.ek.,zamenik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Nikola Miladinović, mas.prof.tehnike i informatike,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Dejan Pecić, dipl.ing.,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Suzana Crnoglavac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19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10.11.2020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10.11.2020 12:01:57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922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ANĐELIJA STEVANOVIĆ PREDUZETNIK RADNJA ZA ČIŠĆENJE OBJEKATA I OSTALE USLUGE U POLJOPRIVREDI AVENIJA MB BEOGRAD (ZVEZDARA), MARKA OREŠKOVIĆA, 44, 11000, Beograd (Zvezdara),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323/20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7.11.2020. 11:29:26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2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240.00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240.00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3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240,00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93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9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200.00 RSD</w:t>
                                <w:br/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br/>
                                <w:t>Imajući u vidu da se radi o uslugama čiji obim za vreme trajanja ugovora nije moguće precizno utvrditi, naručilac  je definisao da procenjena vrednost predmetne nabavke bude i ugovorena vrednost, a što je i defisano čl. 4 Modela ugovora. Ponuđena cena data kao   jedinična cena po kg otpada životinjskog porekla I i II kategorije, ne predstavlja vrednost ugovora, već služi kao osnov za upoređivanje ponuda po kriterijumu-ekonomski najpovoljnija ponuda.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493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95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B4006"/>
    <w:rsid w:val="001F27FD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6</cp:revision>
  <dcterms:created xsi:type="dcterms:W3CDTF">2020-02-17T13:03:00Z</dcterms:created>
  <dcterms:modified xsi:type="dcterms:W3CDTF">2020-03-26T05:56:00Z</dcterms:modified>
</cp:coreProperties>
</file>